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3C71" w14:textId="77777777" w:rsidR="00424593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449081A2" w14:textId="77777777" w:rsidR="00424593" w:rsidRDefault="00424593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424593" w14:paraId="39A1BFF1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76CA01BC" w14:textId="77777777" w:rsidR="00424593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3EB179FD" w14:textId="234D65F8" w:rsidR="00424593" w:rsidRDefault="005A3575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82D0B00" wp14:editId="27EB7E7B">
                  <wp:extent cx="1334135" cy="1889125"/>
                  <wp:effectExtent l="0" t="0" r="0" b="0"/>
                  <wp:docPr id="4290045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593" w14:paraId="564221D3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0D4D6303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6CDC1120" w14:textId="73D0A56B" w:rsidR="00424593" w:rsidRDefault="00F137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Jiang </w:t>
            </w:r>
            <w:proofErr w:type="spellStart"/>
            <w:r>
              <w:rPr>
                <w:rFonts w:hint="eastAsia"/>
                <w:sz w:val="24"/>
              </w:rPr>
              <w:t>Xunping</w:t>
            </w:r>
            <w:proofErr w:type="spellEnd"/>
          </w:p>
        </w:tc>
        <w:tc>
          <w:tcPr>
            <w:tcW w:w="2127" w:type="dxa"/>
            <w:vAlign w:val="center"/>
          </w:tcPr>
          <w:p w14:paraId="5189EAD1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330226DF" w14:textId="685C2C38" w:rsidR="00424593" w:rsidRDefault="00F137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Male</w:t>
            </w:r>
          </w:p>
        </w:tc>
        <w:tc>
          <w:tcPr>
            <w:tcW w:w="2111" w:type="dxa"/>
            <w:vMerge/>
            <w:vAlign w:val="center"/>
          </w:tcPr>
          <w:p w14:paraId="749A15C5" w14:textId="77777777" w:rsidR="00424593" w:rsidRDefault="00424593">
            <w:pPr>
              <w:jc w:val="center"/>
              <w:rPr>
                <w:sz w:val="24"/>
              </w:rPr>
            </w:pPr>
          </w:p>
        </w:tc>
      </w:tr>
      <w:tr w:rsidR="00424593" w14:paraId="2AE40261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42186DD9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3E3B01A3" w14:textId="77777777" w:rsidR="00424593" w:rsidRDefault="00424593">
            <w:pPr>
              <w:jc w:val="center"/>
              <w:rPr>
                <w:sz w:val="24"/>
              </w:rPr>
            </w:pPr>
          </w:p>
        </w:tc>
        <w:tc>
          <w:tcPr>
            <w:tcW w:w="2111" w:type="dxa"/>
            <w:vMerge/>
          </w:tcPr>
          <w:p w14:paraId="78BAA1F4" w14:textId="77777777" w:rsidR="00424593" w:rsidRDefault="00424593">
            <w:pPr>
              <w:jc w:val="center"/>
              <w:rPr>
                <w:sz w:val="24"/>
              </w:rPr>
            </w:pPr>
          </w:p>
        </w:tc>
      </w:tr>
      <w:tr w:rsidR="00424593" w14:paraId="5D8D6CFD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083C1D15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43BF7623" w14:textId="77777777" w:rsidR="00424593" w:rsidRDefault="00F137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College of Animal Science Technology</w:t>
            </w:r>
          </w:p>
          <w:p w14:paraId="053459F1" w14:textId="6C57850C" w:rsidR="00F13705" w:rsidRDefault="00F137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Huazhong Agricultural University</w:t>
            </w:r>
          </w:p>
        </w:tc>
        <w:tc>
          <w:tcPr>
            <w:tcW w:w="2111" w:type="dxa"/>
            <w:vMerge/>
          </w:tcPr>
          <w:p w14:paraId="446B2594" w14:textId="77777777" w:rsidR="00424593" w:rsidRDefault="00424593">
            <w:pPr>
              <w:jc w:val="center"/>
              <w:rPr>
                <w:sz w:val="24"/>
              </w:rPr>
            </w:pPr>
          </w:p>
        </w:tc>
      </w:tr>
      <w:tr w:rsidR="00424593" w14:paraId="51D7BC1F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59B1807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79F59084" w14:textId="5DD13D0A" w:rsidR="00424593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 w:rsidR="00F13705">
              <w:rPr>
                <w:rFonts w:hint="eastAsia"/>
                <w:sz w:val="24"/>
              </w:rPr>
              <w:t>xpjiang@mail.hzau.edu.cn</w:t>
            </w:r>
          </w:p>
        </w:tc>
        <w:tc>
          <w:tcPr>
            <w:tcW w:w="2111" w:type="dxa"/>
            <w:vMerge/>
          </w:tcPr>
          <w:p w14:paraId="5CB61F33" w14:textId="77777777" w:rsidR="00424593" w:rsidRDefault="00424593">
            <w:pPr>
              <w:jc w:val="center"/>
              <w:rPr>
                <w:sz w:val="24"/>
              </w:rPr>
            </w:pPr>
          </w:p>
        </w:tc>
      </w:tr>
      <w:tr w:rsidR="00424593" w14:paraId="1B0B1A9D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5C58CDDF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55DED155" w14:textId="7798A3FE" w:rsidR="00424593" w:rsidRDefault="00F13705">
            <w:pPr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Shizishan</w:t>
            </w:r>
            <w:proofErr w:type="spellEnd"/>
            <w:r>
              <w:rPr>
                <w:rFonts w:hint="eastAsia"/>
                <w:sz w:val="24"/>
              </w:rPr>
              <w:t xml:space="preserve"> Street 1#, Wuhan, China</w:t>
            </w:r>
          </w:p>
        </w:tc>
        <w:tc>
          <w:tcPr>
            <w:tcW w:w="2111" w:type="dxa"/>
            <w:vMerge/>
          </w:tcPr>
          <w:p w14:paraId="6011843E" w14:textId="77777777" w:rsidR="00424593" w:rsidRDefault="00424593">
            <w:pPr>
              <w:jc w:val="center"/>
              <w:rPr>
                <w:sz w:val="24"/>
              </w:rPr>
            </w:pPr>
          </w:p>
        </w:tc>
      </w:tr>
      <w:tr w:rsidR="00424593" w14:paraId="34B7A64C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408B595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2D2ABF9D" w14:textId="6618BB23" w:rsidR="00424593" w:rsidRDefault="00F137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18007166396</w:t>
            </w:r>
          </w:p>
        </w:tc>
        <w:tc>
          <w:tcPr>
            <w:tcW w:w="1133" w:type="dxa"/>
            <w:vAlign w:val="center"/>
          </w:tcPr>
          <w:p w14:paraId="5C05C380" w14:textId="77777777" w:rsidR="0042459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6429DAB1" w14:textId="77777777" w:rsidR="00424593" w:rsidRDefault="00424593">
            <w:pPr>
              <w:jc w:val="center"/>
              <w:rPr>
                <w:sz w:val="24"/>
              </w:rPr>
            </w:pPr>
          </w:p>
        </w:tc>
      </w:tr>
      <w:tr w:rsidR="00424593" w14:paraId="5DB423BA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4737DF7" w14:textId="77777777" w:rsidR="00424593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424593" w14:paraId="33816859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1D8D141A" w14:textId="77777777" w:rsidR="00424593" w:rsidRDefault="00F13705">
            <w:pPr>
              <w:spacing w:line="240" w:lineRule="atLeast"/>
              <w:ind w:left="476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heep and goat genetics</w:t>
            </w:r>
          </w:p>
          <w:p w14:paraId="37D0EED3" w14:textId="77777777" w:rsidR="00F13705" w:rsidRDefault="00F13705">
            <w:pPr>
              <w:spacing w:line="240" w:lineRule="atLeast"/>
              <w:ind w:left="476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heep and goat breeding</w:t>
            </w:r>
          </w:p>
          <w:p w14:paraId="68EB416C" w14:textId="579E5F48" w:rsidR="00F13705" w:rsidRDefault="00F13705">
            <w:pPr>
              <w:spacing w:line="240" w:lineRule="atLeast"/>
              <w:ind w:left="476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 xml:space="preserve">heep and goat </w:t>
            </w:r>
            <w:r>
              <w:rPr>
                <w:sz w:val="24"/>
              </w:rPr>
              <w:t>reproduction</w:t>
            </w:r>
          </w:p>
          <w:p w14:paraId="62CB7CD8" w14:textId="367833E5" w:rsidR="00F13705" w:rsidRDefault="00F13705">
            <w:pPr>
              <w:spacing w:line="240" w:lineRule="atLeast"/>
              <w:ind w:left="47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Smart farm</w:t>
            </w:r>
          </w:p>
        </w:tc>
      </w:tr>
      <w:tr w:rsidR="00424593" w14:paraId="69FF774F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68CFE2B" w14:textId="77777777" w:rsidR="00424593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424593" w14:paraId="3CED84AE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509C7C3F" w14:textId="589DDE5B" w:rsidR="00424593" w:rsidRDefault="00F13705">
            <w:pPr>
              <w:pStyle w:val="a9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Liu Guiqiong   </w:t>
            </w:r>
            <w:r w:rsidRPr="00F13705">
              <w:rPr>
                <w:sz w:val="24"/>
              </w:rPr>
              <w:t>associate professor</w:t>
            </w:r>
          </w:p>
          <w:p w14:paraId="0890FAAD" w14:textId="3B6836D4" w:rsidR="00F13705" w:rsidRDefault="00F13705">
            <w:pPr>
              <w:pStyle w:val="a9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He </w:t>
            </w:r>
            <w:proofErr w:type="spellStart"/>
            <w:r>
              <w:rPr>
                <w:rFonts w:hint="eastAsia"/>
                <w:sz w:val="24"/>
              </w:rPr>
              <w:t>Changjiu</w:t>
            </w:r>
            <w:proofErr w:type="spellEnd"/>
            <w:r>
              <w:rPr>
                <w:rFonts w:hint="eastAsia"/>
                <w:sz w:val="24"/>
              </w:rPr>
              <w:t xml:space="preserve">    </w:t>
            </w:r>
            <w:r w:rsidRPr="00F13705">
              <w:rPr>
                <w:sz w:val="24"/>
              </w:rPr>
              <w:t>associate professor</w:t>
            </w:r>
          </w:p>
        </w:tc>
      </w:tr>
      <w:tr w:rsidR="00424593" w14:paraId="6DFAEE40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F07EC23" w14:textId="77777777" w:rsidR="00424593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424593" w14:paraId="7B01E6AD" w14:textId="77777777" w:rsidTr="00B65176">
        <w:tblPrEx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9476" w:type="dxa"/>
            <w:gridSpan w:val="6"/>
            <w:vAlign w:val="center"/>
          </w:tcPr>
          <w:p w14:paraId="4E93110C" w14:textId="77777777" w:rsidR="00424593" w:rsidRDefault="00424593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424593" w14:paraId="54C092A3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2FB7B94" w14:textId="77777777" w:rsidR="0042459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424593" w14:paraId="00C1CD4E" w14:textId="77777777" w:rsidTr="00D379A1">
        <w:tblPrEx>
          <w:tblCellMar>
            <w:left w:w="108" w:type="dxa"/>
            <w:right w:w="108" w:type="dxa"/>
          </w:tblCellMar>
        </w:tblPrEx>
        <w:trPr>
          <w:trHeight w:val="1417"/>
        </w:trPr>
        <w:tc>
          <w:tcPr>
            <w:tcW w:w="9476" w:type="dxa"/>
            <w:gridSpan w:val="6"/>
            <w:vAlign w:val="center"/>
          </w:tcPr>
          <w:p w14:paraId="13BD603A" w14:textId="3D9651C3" w:rsidR="00F13705" w:rsidRDefault="00F13705">
            <w:pPr>
              <w:pStyle w:val="a9"/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1995.07-2003.08 Yangzhou University</w:t>
            </w:r>
          </w:p>
          <w:p w14:paraId="7AC6680E" w14:textId="2AF8540E" w:rsidR="00424593" w:rsidRDefault="00F13705">
            <w:pPr>
              <w:pStyle w:val="a9"/>
              <w:ind w:left="42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1998.07-2021.06 Nanjing Agricultural University</w:t>
            </w:r>
          </w:p>
          <w:p w14:paraId="1670CEFF" w14:textId="46D0873F" w:rsidR="00424593" w:rsidRDefault="00F13705" w:rsidP="00F13705">
            <w:pPr>
              <w:pStyle w:val="a9"/>
              <w:ind w:left="42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2003.09-       Huazhong Agricultural University</w:t>
            </w:r>
          </w:p>
        </w:tc>
      </w:tr>
      <w:tr w:rsidR="00424593" w14:paraId="2FD59967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5EDD373" w14:textId="77777777" w:rsidR="0042459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424593" w14:paraId="0D3B1E78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6059667B" w14:textId="60BD697A" w:rsidR="00D379A1" w:rsidRPr="00B65176" w:rsidRDefault="005A3575">
            <w:pPr>
              <w:spacing w:after="48" w:line="440" w:lineRule="atLeast"/>
              <w:outlineLvl w:val="0"/>
              <w:rPr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1.</w:t>
            </w:r>
            <w:r w:rsidRPr="00B65176">
              <w:rPr>
                <w:kern w:val="0"/>
                <w:szCs w:val="21"/>
              </w:rPr>
              <w:t xml:space="preserve"> </w:t>
            </w:r>
            <w:r w:rsidR="00D379A1" w:rsidRPr="00B65176">
              <w:rPr>
                <w:kern w:val="0"/>
                <w:szCs w:val="21"/>
              </w:rPr>
              <w:t xml:space="preserve">Farooq Umar, Liu Guiqiong, Ahmed </w:t>
            </w:r>
            <w:proofErr w:type="gramStart"/>
            <w:r w:rsidR="00D379A1" w:rsidRPr="00B65176">
              <w:rPr>
                <w:kern w:val="0"/>
                <w:szCs w:val="21"/>
              </w:rPr>
              <w:t>Sohail ,</w:t>
            </w:r>
            <w:proofErr w:type="gramEnd"/>
            <w:r w:rsidR="00D379A1" w:rsidRPr="00B65176">
              <w:rPr>
                <w:kern w:val="0"/>
                <w:szCs w:val="21"/>
              </w:rPr>
              <w:t xml:space="preserve"> Yang </w:t>
            </w:r>
            <w:proofErr w:type="spellStart"/>
            <w:proofErr w:type="gramStart"/>
            <w:r w:rsidR="00D379A1" w:rsidRPr="00B65176">
              <w:rPr>
                <w:kern w:val="0"/>
                <w:szCs w:val="21"/>
              </w:rPr>
              <w:t>Huiguo</w:t>
            </w:r>
            <w:proofErr w:type="spellEnd"/>
            <w:r w:rsidR="00D379A1" w:rsidRPr="00B65176">
              <w:rPr>
                <w:kern w:val="0"/>
                <w:szCs w:val="21"/>
              </w:rPr>
              <w:t xml:space="preserve"> ,</w:t>
            </w:r>
            <w:proofErr w:type="gramEnd"/>
            <w:r w:rsidR="00D379A1" w:rsidRPr="00B65176">
              <w:rPr>
                <w:kern w:val="0"/>
                <w:szCs w:val="21"/>
              </w:rPr>
              <w:t xml:space="preserve"> Ahmed </w:t>
            </w:r>
            <w:proofErr w:type="gramStart"/>
            <w:r w:rsidR="00D379A1" w:rsidRPr="00B65176">
              <w:rPr>
                <w:kern w:val="0"/>
                <w:szCs w:val="21"/>
              </w:rPr>
              <w:t>Mehboob ,</w:t>
            </w:r>
            <w:proofErr w:type="gramEnd"/>
            <w:r w:rsidR="00D379A1" w:rsidRPr="00B65176">
              <w:rPr>
                <w:kern w:val="0"/>
                <w:szCs w:val="21"/>
              </w:rPr>
              <w:t xml:space="preserve"> Jiang Xunping. 2025. Novel insights into ORFV B2L DNA vaccine-mediated gut microbiota modulation and immune augmentation in rats. Frontiers in Immunology,16.</w:t>
            </w:r>
          </w:p>
          <w:p w14:paraId="22DBD0C2" w14:textId="77777777" w:rsidR="00D379A1" w:rsidRPr="00B65176" w:rsidRDefault="005A3575" w:rsidP="00D379A1">
            <w:pPr>
              <w:widowControl/>
              <w:tabs>
                <w:tab w:val="left" w:pos="720"/>
              </w:tabs>
              <w:spacing w:before="60" w:after="60" w:line="355" w:lineRule="auto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 xml:space="preserve">2. </w:t>
            </w:r>
            <w:bookmarkStart w:id="0" w:name="_Hlk207889142"/>
            <w:r w:rsidR="00D379A1" w:rsidRPr="00B65176">
              <w:rPr>
                <w:kern w:val="0"/>
                <w:szCs w:val="21"/>
              </w:rPr>
              <w:t xml:space="preserve">Abdelrahman M, Liu G, Al-Saeed FA, Liu Y, Hou F, Yang H, Farooq U, Ahmed S, Jiang X. Deciphering the </w:t>
            </w:r>
            <w:proofErr w:type="spellStart"/>
            <w:r w:rsidR="00D379A1" w:rsidRPr="00B65176">
              <w:rPr>
                <w:kern w:val="0"/>
                <w:szCs w:val="21"/>
              </w:rPr>
              <w:t>colostral</w:t>
            </w:r>
            <w:proofErr w:type="spellEnd"/>
            <w:r w:rsidR="00D379A1" w:rsidRPr="00B65176">
              <w:rPr>
                <w:kern w:val="0"/>
                <w:szCs w:val="21"/>
              </w:rPr>
              <w:t xml:space="preserve">-immunity transfer: from mammary gland to </w:t>
            </w:r>
            <w:proofErr w:type="gramStart"/>
            <w:r w:rsidR="00D379A1" w:rsidRPr="00B65176">
              <w:rPr>
                <w:kern w:val="0"/>
                <w:szCs w:val="21"/>
              </w:rPr>
              <w:t>neonates</w:t>
            </w:r>
            <w:proofErr w:type="gramEnd"/>
            <w:r w:rsidR="00D379A1" w:rsidRPr="00B65176">
              <w:rPr>
                <w:kern w:val="0"/>
                <w:szCs w:val="21"/>
              </w:rPr>
              <w:t xml:space="preserve"> small intestine. Vet Res Commun. 2025 Jan 11;49(2):72. </w:t>
            </w:r>
            <w:proofErr w:type="spellStart"/>
            <w:r w:rsidR="00D379A1" w:rsidRPr="00B65176">
              <w:rPr>
                <w:kern w:val="0"/>
                <w:szCs w:val="21"/>
              </w:rPr>
              <w:t>doi</w:t>
            </w:r>
            <w:proofErr w:type="spellEnd"/>
            <w:r w:rsidR="00D379A1" w:rsidRPr="00B65176">
              <w:rPr>
                <w:kern w:val="0"/>
                <w:szCs w:val="21"/>
              </w:rPr>
              <w:t>: 10.1007/s11259-025-10646-7. PMID: 39798032.</w:t>
            </w:r>
          </w:p>
          <w:bookmarkEnd w:id="0"/>
          <w:p w14:paraId="1F1C7C5D" w14:textId="1122941C" w:rsidR="00D379A1" w:rsidRPr="00B65176" w:rsidRDefault="00D379A1">
            <w:pPr>
              <w:spacing w:after="48" w:line="440" w:lineRule="atLeast"/>
              <w:outlineLvl w:val="0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lastRenderedPageBreak/>
              <w:t xml:space="preserve">3. </w:t>
            </w:r>
            <w:proofErr w:type="spellStart"/>
            <w:r w:rsidRPr="00B65176">
              <w:rPr>
                <w:kern w:val="0"/>
                <w:szCs w:val="21"/>
              </w:rPr>
              <w:t>Hongze</w:t>
            </w:r>
            <w:proofErr w:type="spellEnd"/>
            <w:r w:rsidRPr="00B65176">
              <w:rPr>
                <w:kern w:val="0"/>
                <w:szCs w:val="21"/>
              </w:rPr>
              <w:t xml:space="preserve"> Wang, </w:t>
            </w:r>
            <w:proofErr w:type="spellStart"/>
            <w:r w:rsidRPr="00B65176">
              <w:rPr>
                <w:kern w:val="0"/>
                <w:szCs w:val="21"/>
              </w:rPr>
              <w:t>Guiqiong</w:t>
            </w:r>
            <w:proofErr w:type="spellEnd"/>
            <w:r w:rsidRPr="00B65176">
              <w:rPr>
                <w:kern w:val="0"/>
                <w:szCs w:val="21"/>
              </w:rPr>
              <w:t xml:space="preserve"> Liu, </w:t>
            </w:r>
            <w:proofErr w:type="spellStart"/>
            <w:r w:rsidRPr="00B65176">
              <w:rPr>
                <w:kern w:val="0"/>
                <w:szCs w:val="21"/>
              </w:rPr>
              <w:t>Aimin</w:t>
            </w:r>
            <w:proofErr w:type="spellEnd"/>
            <w:r w:rsidRPr="00B65176">
              <w:rPr>
                <w:kern w:val="0"/>
                <w:szCs w:val="21"/>
              </w:rPr>
              <w:t xml:space="preserve"> Zhou, </w:t>
            </w:r>
            <w:proofErr w:type="spellStart"/>
            <w:r w:rsidRPr="00B65176">
              <w:rPr>
                <w:kern w:val="0"/>
                <w:szCs w:val="21"/>
              </w:rPr>
              <w:t>Huiguo</w:t>
            </w:r>
            <w:proofErr w:type="spellEnd"/>
            <w:r w:rsidRPr="00B65176">
              <w:rPr>
                <w:kern w:val="0"/>
                <w:szCs w:val="21"/>
              </w:rPr>
              <w:t xml:space="preserve"> Yang, Kun Kang, Sohail Ahmed, Biao Li, Umar Farooq, </w:t>
            </w:r>
            <w:proofErr w:type="spellStart"/>
            <w:r w:rsidRPr="00B65176">
              <w:rPr>
                <w:kern w:val="0"/>
                <w:szCs w:val="21"/>
              </w:rPr>
              <w:t>Fuqing</w:t>
            </w:r>
            <w:proofErr w:type="spellEnd"/>
            <w:r w:rsidRPr="00B65176">
              <w:rPr>
                <w:kern w:val="0"/>
                <w:szCs w:val="21"/>
              </w:rPr>
              <w:t xml:space="preserve"> Hou, </w:t>
            </w:r>
            <w:proofErr w:type="spellStart"/>
            <w:r w:rsidRPr="00B65176">
              <w:rPr>
                <w:kern w:val="0"/>
                <w:szCs w:val="21"/>
              </w:rPr>
              <w:t>Chaoli</w:t>
            </w:r>
            <w:proofErr w:type="spellEnd"/>
            <w:r w:rsidRPr="00B65176">
              <w:rPr>
                <w:kern w:val="0"/>
                <w:szCs w:val="21"/>
              </w:rPr>
              <w:t xml:space="preserve"> Wang, Xue Bai, Yan Chen, Yi Ding &amp; </w:t>
            </w:r>
            <w:proofErr w:type="spellStart"/>
            <w:r w:rsidRPr="00B65176">
              <w:rPr>
                <w:kern w:val="0"/>
                <w:szCs w:val="21"/>
              </w:rPr>
              <w:t>Xunping</w:t>
            </w:r>
            <w:proofErr w:type="spellEnd"/>
            <w:r w:rsidRPr="00B65176">
              <w:rPr>
                <w:kern w:val="0"/>
                <w:szCs w:val="21"/>
              </w:rPr>
              <w:t xml:space="preserve"> Jiang </w:t>
            </w:r>
            <w:r w:rsidRPr="00B65176">
              <w:rPr>
                <w:szCs w:val="21"/>
                <w:vertAlign w:val="superscript"/>
              </w:rPr>
              <w:t>(*)</w:t>
            </w:r>
            <w:r w:rsidRPr="00B65176">
              <w:rPr>
                <w:kern w:val="0"/>
                <w:szCs w:val="21"/>
              </w:rPr>
              <w:t>. Effects of yeast culture on in vitro ruminal fermentation and microbial community of high concentrate diet in sheep. AMB Expr 14, 37 (2024).</w:t>
            </w:r>
          </w:p>
          <w:p w14:paraId="2703D57E" w14:textId="578D5A55" w:rsidR="00D379A1" w:rsidRPr="00B65176" w:rsidRDefault="00D379A1" w:rsidP="00D379A1">
            <w:pPr>
              <w:widowControl/>
              <w:tabs>
                <w:tab w:val="left" w:pos="720"/>
              </w:tabs>
              <w:spacing w:before="60" w:after="60" w:line="355" w:lineRule="auto"/>
              <w:rPr>
                <w:kern w:val="0"/>
                <w:szCs w:val="21"/>
              </w:rPr>
            </w:pPr>
            <w:bookmarkStart w:id="1" w:name="_Hlk181195746"/>
            <w:r w:rsidRPr="00B65176">
              <w:rPr>
                <w:rStyle w:val="authorname"/>
                <w:rFonts w:hint="eastAsia"/>
                <w:color w:val="333333"/>
                <w:szCs w:val="21"/>
                <w:shd w:val="clear" w:color="auto" w:fill="FFFFFF"/>
              </w:rPr>
              <w:t xml:space="preserve">4. </w:t>
            </w:r>
            <w:bookmarkEnd w:id="1"/>
            <w:r w:rsidRPr="00B65176">
              <w:rPr>
                <w:kern w:val="0"/>
                <w:szCs w:val="21"/>
              </w:rPr>
              <w:t xml:space="preserve">Ahmed S, Liu G, Sadiq A, Yang H, </w:t>
            </w:r>
            <w:proofErr w:type="spellStart"/>
            <w:r w:rsidRPr="00B65176">
              <w:rPr>
                <w:kern w:val="0"/>
                <w:szCs w:val="21"/>
              </w:rPr>
              <w:t>Yongbin</w:t>
            </w:r>
            <w:proofErr w:type="spellEnd"/>
            <w:r w:rsidRPr="00B65176">
              <w:rPr>
                <w:kern w:val="0"/>
                <w:szCs w:val="21"/>
              </w:rPr>
              <w:t xml:space="preserve"> L, Farooq U, Yi D, </w:t>
            </w:r>
            <w:proofErr w:type="spellStart"/>
            <w:r w:rsidRPr="00B65176">
              <w:rPr>
                <w:kern w:val="0"/>
                <w:szCs w:val="21"/>
              </w:rPr>
              <w:t>Yiyu</w:t>
            </w:r>
            <w:proofErr w:type="spellEnd"/>
            <w:r w:rsidRPr="00B65176">
              <w:rPr>
                <w:kern w:val="0"/>
                <w:szCs w:val="21"/>
              </w:rPr>
              <w:t xml:space="preserve"> S, Xiaodong W, Ahmed M, Jiang X. Synergistic Effect of Maternal Micronutrient Supplementation on ORFV DNA Vaccine Immune Response in a Pregnant Model. Biol Trace Elem Res. 2024 Jun 14. </w:t>
            </w:r>
          </w:p>
          <w:p w14:paraId="06D49FE9" w14:textId="625A4578" w:rsidR="00D379A1" w:rsidRPr="00B65176" w:rsidRDefault="00D379A1" w:rsidP="00D379A1">
            <w:pPr>
              <w:widowControl/>
              <w:tabs>
                <w:tab w:val="left" w:pos="720"/>
              </w:tabs>
              <w:spacing w:before="60" w:after="60" w:line="355" w:lineRule="auto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 xml:space="preserve">5. </w:t>
            </w:r>
            <w:r w:rsidRPr="00B65176">
              <w:rPr>
                <w:kern w:val="0"/>
                <w:szCs w:val="21"/>
              </w:rPr>
              <w:t xml:space="preserve">Yi Ding†, </w:t>
            </w:r>
            <w:proofErr w:type="spellStart"/>
            <w:r w:rsidRPr="00B65176">
              <w:rPr>
                <w:kern w:val="0"/>
                <w:szCs w:val="21"/>
              </w:rPr>
              <w:t>Xunping</w:t>
            </w:r>
            <w:proofErr w:type="spellEnd"/>
            <w:r w:rsidRPr="00B65176">
              <w:rPr>
                <w:kern w:val="0"/>
                <w:szCs w:val="21"/>
              </w:rPr>
              <w:t xml:space="preserve"> Jiang†, Ling Sun, </w:t>
            </w:r>
            <w:proofErr w:type="spellStart"/>
            <w:r w:rsidRPr="00B65176">
              <w:rPr>
                <w:kern w:val="0"/>
                <w:szCs w:val="21"/>
              </w:rPr>
              <w:t>Yiyu</w:t>
            </w:r>
            <w:proofErr w:type="spellEnd"/>
            <w:r w:rsidRPr="00B65176">
              <w:rPr>
                <w:kern w:val="0"/>
                <w:szCs w:val="21"/>
              </w:rPr>
              <w:t xml:space="preserve">, Zhan Xu, Ahmed Sohail and </w:t>
            </w:r>
            <w:proofErr w:type="spellStart"/>
            <w:r w:rsidRPr="00B65176">
              <w:rPr>
                <w:kern w:val="0"/>
                <w:szCs w:val="21"/>
              </w:rPr>
              <w:t>Guiqiong</w:t>
            </w:r>
            <w:proofErr w:type="spellEnd"/>
            <w:r w:rsidRPr="00B65176">
              <w:rPr>
                <w:kern w:val="0"/>
                <w:szCs w:val="21"/>
              </w:rPr>
              <w:t xml:space="preserve"> Liu (</w:t>
            </w:r>
            <w:r w:rsidRPr="00B65176">
              <w:rPr>
                <w:kern w:val="0"/>
                <w:szCs w:val="21"/>
                <w:vertAlign w:val="superscript"/>
              </w:rPr>
              <w:t>*)</w:t>
            </w:r>
            <w:r w:rsidRPr="00B65176">
              <w:rPr>
                <w:kern w:val="0"/>
                <w:szCs w:val="21"/>
              </w:rPr>
              <w:t xml:space="preserve"> (2024). Multiple-Pathway Synergy Alters Steroidogenesis and Spermatogenesis in Response to an </w:t>
            </w:r>
            <w:proofErr w:type="spellStart"/>
            <w:r w:rsidRPr="00B65176">
              <w:rPr>
                <w:kern w:val="0"/>
                <w:szCs w:val="21"/>
              </w:rPr>
              <w:t>Immunocastration</w:t>
            </w:r>
            <w:proofErr w:type="spellEnd"/>
            <w:r w:rsidRPr="00B65176">
              <w:rPr>
                <w:kern w:val="0"/>
                <w:szCs w:val="21"/>
              </w:rPr>
              <w:t xml:space="preserve"> Vaccine in Goat. Cells, 13(1). Cells 2024, 13, 6. </w:t>
            </w:r>
          </w:p>
          <w:p w14:paraId="07626C3A" w14:textId="5AC2A280" w:rsidR="00D379A1" w:rsidRPr="00B65176" w:rsidRDefault="00D379A1" w:rsidP="00D379A1">
            <w:pPr>
              <w:widowControl/>
              <w:tabs>
                <w:tab w:val="left" w:pos="720"/>
              </w:tabs>
              <w:spacing w:before="60" w:after="60" w:line="355" w:lineRule="auto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 xml:space="preserve">6. </w:t>
            </w:r>
            <w:r w:rsidRPr="00B65176">
              <w:rPr>
                <w:kern w:val="0"/>
                <w:szCs w:val="21"/>
              </w:rPr>
              <w:t xml:space="preserve">Yi Ding, </w:t>
            </w:r>
            <w:proofErr w:type="spellStart"/>
            <w:r w:rsidRPr="00B65176">
              <w:rPr>
                <w:kern w:val="0"/>
                <w:szCs w:val="21"/>
              </w:rPr>
              <w:t>Xunping</w:t>
            </w:r>
            <w:proofErr w:type="spellEnd"/>
            <w:r w:rsidRPr="00B65176">
              <w:rPr>
                <w:kern w:val="0"/>
                <w:szCs w:val="21"/>
              </w:rPr>
              <w:t xml:space="preserve"> Jiang, </w:t>
            </w:r>
            <w:proofErr w:type="spellStart"/>
            <w:r w:rsidRPr="00B65176">
              <w:rPr>
                <w:kern w:val="0"/>
                <w:szCs w:val="21"/>
              </w:rPr>
              <w:t>Haijing</w:t>
            </w:r>
            <w:proofErr w:type="spellEnd"/>
            <w:r w:rsidRPr="00B65176">
              <w:rPr>
                <w:kern w:val="0"/>
                <w:szCs w:val="21"/>
              </w:rPr>
              <w:t xml:space="preserve"> Jing, </w:t>
            </w:r>
            <w:proofErr w:type="spellStart"/>
            <w:r w:rsidRPr="00B65176">
              <w:rPr>
                <w:kern w:val="0"/>
                <w:szCs w:val="21"/>
              </w:rPr>
              <w:t>Guiqiong</w:t>
            </w:r>
            <w:proofErr w:type="spellEnd"/>
            <w:r w:rsidRPr="00B65176">
              <w:rPr>
                <w:kern w:val="0"/>
                <w:szCs w:val="21"/>
              </w:rPr>
              <w:t xml:space="preserve"> Liu, Junjun Cheng, 2023. Recombinant HBsAg-S and RFRP-3 DNA vaccine promotes reproduction hormone secretion in sheep, Theriogenology, 2023. 201, 68-75</w:t>
            </w:r>
          </w:p>
          <w:p w14:paraId="08B4802E" w14:textId="2D5338C7" w:rsidR="005A3575" w:rsidRPr="00B65176" w:rsidRDefault="00D379A1">
            <w:pPr>
              <w:spacing w:after="48" w:line="440" w:lineRule="atLeast"/>
              <w:outlineLvl w:val="0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 xml:space="preserve">7. </w:t>
            </w:r>
            <w:r w:rsidR="005A3575" w:rsidRPr="00B65176">
              <w:rPr>
                <w:kern w:val="0"/>
                <w:szCs w:val="21"/>
              </w:rPr>
              <w:t xml:space="preserve">Zhang, Xiaoming, </w:t>
            </w:r>
            <w:proofErr w:type="spellStart"/>
            <w:r w:rsidR="005A3575" w:rsidRPr="00B65176">
              <w:rPr>
                <w:kern w:val="0"/>
                <w:szCs w:val="21"/>
              </w:rPr>
              <w:t>Tianzeng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Song, </w:t>
            </w:r>
            <w:proofErr w:type="spellStart"/>
            <w:r w:rsidR="005A3575" w:rsidRPr="00B65176">
              <w:rPr>
                <w:kern w:val="0"/>
                <w:szCs w:val="21"/>
              </w:rPr>
              <w:t>Guiqiong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Liu, Jing Wu, </w:t>
            </w:r>
            <w:proofErr w:type="spellStart"/>
            <w:r w:rsidR="005A3575" w:rsidRPr="00B65176">
              <w:rPr>
                <w:kern w:val="0"/>
                <w:szCs w:val="21"/>
              </w:rPr>
              <w:t>Yangzong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Zhaxi, Shehr Bano Mustafa, Khuram Shahzad, Xiaoying Chen, </w:t>
            </w:r>
            <w:proofErr w:type="spellStart"/>
            <w:r w:rsidR="005A3575" w:rsidRPr="00B65176">
              <w:rPr>
                <w:kern w:val="0"/>
                <w:szCs w:val="21"/>
              </w:rPr>
              <w:t>Wangsheng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</w:t>
            </w:r>
            <w:proofErr w:type="gramStart"/>
            <w:r w:rsidR="005A3575" w:rsidRPr="00B65176">
              <w:rPr>
                <w:kern w:val="0"/>
                <w:szCs w:val="21"/>
              </w:rPr>
              <w:t>Zhao</w:t>
            </w:r>
            <w:r w:rsidR="005A3575" w:rsidRPr="00B65176">
              <w:rPr>
                <w:kern w:val="0"/>
                <w:szCs w:val="21"/>
                <w:vertAlign w:val="superscript"/>
              </w:rPr>
              <w:t>(</w:t>
            </w:r>
            <w:proofErr w:type="gramEnd"/>
            <w:r w:rsidR="005A3575" w:rsidRPr="00B65176">
              <w:rPr>
                <w:kern w:val="0"/>
                <w:szCs w:val="21"/>
                <w:vertAlign w:val="superscript"/>
              </w:rPr>
              <w:t>#)</w:t>
            </w:r>
            <w:r w:rsidR="005A3575" w:rsidRPr="00B65176">
              <w:rPr>
                <w:kern w:val="0"/>
                <w:szCs w:val="21"/>
              </w:rPr>
              <w:t xml:space="preserve">, and </w:t>
            </w:r>
            <w:proofErr w:type="spellStart"/>
            <w:r w:rsidR="005A3575" w:rsidRPr="00B65176">
              <w:rPr>
                <w:kern w:val="0"/>
                <w:szCs w:val="21"/>
              </w:rPr>
              <w:t>Xunping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</w:t>
            </w:r>
            <w:proofErr w:type="gramStart"/>
            <w:r w:rsidR="005A3575" w:rsidRPr="00B65176">
              <w:rPr>
                <w:kern w:val="0"/>
                <w:szCs w:val="21"/>
              </w:rPr>
              <w:t>Jiang</w:t>
            </w:r>
            <w:r w:rsidR="005A3575" w:rsidRPr="00B65176">
              <w:rPr>
                <w:kern w:val="0"/>
                <w:szCs w:val="21"/>
                <w:vertAlign w:val="superscript"/>
              </w:rPr>
              <w:t>(</w:t>
            </w:r>
            <w:proofErr w:type="gramEnd"/>
            <w:r w:rsidR="005A3575" w:rsidRPr="00B65176">
              <w:rPr>
                <w:kern w:val="0"/>
                <w:szCs w:val="21"/>
                <w:vertAlign w:val="superscript"/>
              </w:rPr>
              <w:t>#)</w:t>
            </w:r>
            <w:r w:rsidR="005A3575" w:rsidRPr="00B65176">
              <w:rPr>
                <w:kern w:val="0"/>
                <w:szCs w:val="21"/>
              </w:rPr>
              <w:t xml:space="preserve">. 2024. GnRH </w:t>
            </w:r>
            <w:proofErr w:type="spellStart"/>
            <w:r w:rsidR="005A3575" w:rsidRPr="00B65176">
              <w:rPr>
                <w:kern w:val="0"/>
                <w:szCs w:val="21"/>
              </w:rPr>
              <w:t>Immunocastration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in Male Xizang Sheep: Impacts on Rumen Microbiome and Metabolite Profiles for Enhanced Health and Productivity. Animals 14, no. 20: 2942.</w:t>
            </w:r>
          </w:p>
          <w:p w14:paraId="2E18A39D" w14:textId="77777777" w:rsidR="00D379A1" w:rsidRPr="00B65176" w:rsidRDefault="00D379A1" w:rsidP="00D379A1">
            <w:pPr>
              <w:widowControl/>
              <w:tabs>
                <w:tab w:val="left" w:pos="720"/>
              </w:tabs>
              <w:spacing w:before="60" w:after="60" w:line="355" w:lineRule="auto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>8.</w:t>
            </w:r>
            <w:r w:rsidR="005A3575" w:rsidRPr="00B65176">
              <w:rPr>
                <w:kern w:val="0"/>
                <w:szCs w:val="21"/>
              </w:rPr>
              <w:t>Hu, R.</w:t>
            </w:r>
            <w:r w:rsidR="005A3575" w:rsidRPr="00B65176">
              <w:rPr>
                <w:szCs w:val="21"/>
                <w:vertAlign w:val="superscript"/>
              </w:rPr>
              <w:t xml:space="preserve"> (#)</w:t>
            </w:r>
            <w:r w:rsidR="005A3575" w:rsidRPr="00B65176">
              <w:rPr>
                <w:kern w:val="0"/>
                <w:szCs w:val="21"/>
              </w:rPr>
              <w:t>, Jiang, X.</w:t>
            </w:r>
            <w:r w:rsidR="005A3575" w:rsidRPr="00B65176">
              <w:rPr>
                <w:szCs w:val="21"/>
                <w:vertAlign w:val="superscript"/>
              </w:rPr>
              <w:t xml:space="preserve"> (#)</w:t>
            </w:r>
            <w:r w:rsidR="005A3575" w:rsidRPr="00B65176">
              <w:rPr>
                <w:kern w:val="0"/>
                <w:szCs w:val="21"/>
              </w:rPr>
              <w:t>, Yang, H., and Liu, G.</w:t>
            </w:r>
            <w:r w:rsidR="005A3575" w:rsidRPr="00B65176">
              <w:rPr>
                <w:szCs w:val="21"/>
                <w:vertAlign w:val="superscript"/>
              </w:rPr>
              <w:t xml:space="preserve"> (*)</w:t>
            </w:r>
            <w:r w:rsidR="005A3575" w:rsidRPr="00B65176">
              <w:rPr>
                <w:kern w:val="0"/>
                <w:szCs w:val="21"/>
              </w:rPr>
              <w:t>. 2023. Selection signature analysis reveals RDH5 performed key function in vision during sheep domestication process, Arch. Anim. Breed., 66, 81–91</w:t>
            </w:r>
          </w:p>
          <w:p w14:paraId="08D8139C" w14:textId="4924228C" w:rsidR="005A3575" w:rsidRPr="00B65176" w:rsidRDefault="00D379A1" w:rsidP="00D379A1">
            <w:pPr>
              <w:widowControl/>
              <w:tabs>
                <w:tab w:val="left" w:pos="720"/>
              </w:tabs>
              <w:spacing w:before="60" w:after="60" w:line="355" w:lineRule="auto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 xml:space="preserve">9. </w:t>
            </w:r>
            <w:r w:rsidR="005A3575" w:rsidRPr="00B65176">
              <w:rPr>
                <w:color w:val="000000"/>
                <w:kern w:val="0"/>
                <w:szCs w:val="21"/>
              </w:rPr>
              <w:t>Yan, Y., Chi, S., Liu, G., Huang, Y., Pan, D. &amp; Jiang, X</w:t>
            </w:r>
            <w:r w:rsidR="005A3575" w:rsidRPr="00B65176">
              <w:rPr>
                <w:szCs w:val="21"/>
                <w:vertAlign w:val="superscript"/>
              </w:rPr>
              <w:t xml:space="preserve"> (*)</w:t>
            </w:r>
            <w:r w:rsidR="005A3575" w:rsidRPr="00B65176">
              <w:rPr>
                <w:color w:val="000000"/>
                <w:kern w:val="0"/>
                <w:szCs w:val="21"/>
              </w:rPr>
              <w:t xml:space="preserve">. 2022. The c.612A&gt;G mutation of </w:t>
            </w:r>
            <w:r w:rsidR="005A3575" w:rsidRPr="00B65176">
              <w:rPr>
                <w:i/>
                <w:iCs/>
                <w:color w:val="000000"/>
                <w:kern w:val="0"/>
                <w:szCs w:val="21"/>
              </w:rPr>
              <w:t xml:space="preserve">MC4R </w:t>
            </w:r>
            <w:r w:rsidR="005A3575" w:rsidRPr="00B65176">
              <w:rPr>
                <w:color w:val="000000"/>
                <w:kern w:val="0"/>
                <w:szCs w:val="21"/>
              </w:rPr>
              <w:t xml:space="preserve">affects constitutive activity and signaling in domestic goats. </w:t>
            </w:r>
            <w:r w:rsidR="005A3575" w:rsidRPr="00B65176">
              <w:rPr>
                <w:i/>
                <w:iCs/>
                <w:color w:val="000000"/>
                <w:kern w:val="0"/>
                <w:szCs w:val="21"/>
              </w:rPr>
              <w:t>Animal Genetics</w:t>
            </w:r>
            <w:r w:rsidR="005A3575" w:rsidRPr="00B65176">
              <w:rPr>
                <w:color w:val="000000"/>
                <w:kern w:val="0"/>
                <w:szCs w:val="21"/>
              </w:rPr>
              <w:t>, 00, 1–11</w:t>
            </w:r>
          </w:p>
          <w:p w14:paraId="4C06848C" w14:textId="459BC956" w:rsidR="005A3575" w:rsidRPr="00B65176" w:rsidRDefault="00D379A1">
            <w:pPr>
              <w:spacing w:after="48" w:line="440" w:lineRule="atLeast"/>
              <w:outlineLvl w:val="0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 xml:space="preserve">10. </w:t>
            </w:r>
            <w:proofErr w:type="spellStart"/>
            <w:r w:rsidR="005A3575" w:rsidRPr="00B65176">
              <w:rPr>
                <w:kern w:val="0"/>
                <w:szCs w:val="21"/>
              </w:rPr>
              <w:t>Ruixue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</w:t>
            </w:r>
            <w:proofErr w:type="gramStart"/>
            <w:r w:rsidR="005A3575" w:rsidRPr="00B65176">
              <w:rPr>
                <w:kern w:val="0"/>
                <w:szCs w:val="21"/>
              </w:rPr>
              <w:t>Hu</w:t>
            </w:r>
            <w:r w:rsidR="005A3575" w:rsidRPr="00B65176">
              <w:rPr>
                <w:szCs w:val="21"/>
                <w:vertAlign w:val="superscript"/>
              </w:rPr>
              <w:t xml:space="preserve"> (#</w:t>
            </w:r>
            <w:proofErr w:type="gramEnd"/>
            <w:r w:rsidR="005A3575" w:rsidRPr="00B65176">
              <w:rPr>
                <w:szCs w:val="21"/>
                <w:vertAlign w:val="superscript"/>
              </w:rPr>
              <w:t>)</w:t>
            </w:r>
            <w:r w:rsidR="005A3575" w:rsidRPr="00B65176">
              <w:rPr>
                <w:kern w:val="0"/>
                <w:szCs w:val="21"/>
              </w:rPr>
              <w:t xml:space="preserve">, </w:t>
            </w:r>
            <w:proofErr w:type="spellStart"/>
            <w:r w:rsidR="005A3575" w:rsidRPr="00B65176">
              <w:rPr>
                <w:kern w:val="0"/>
                <w:szCs w:val="21"/>
              </w:rPr>
              <w:t>Xunping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</w:t>
            </w:r>
            <w:proofErr w:type="gramStart"/>
            <w:r w:rsidR="005A3575" w:rsidRPr="00B65176">
              <w:rPr>
                <w:kern w:val="0"/>
                <w:szCs w:val="21"/>
              </w:rPr>
              <w:t>Jiang</w:t>
            </w:r>
            <w:r w:rsidR="005A3575" w:rsidRPr="00B65176">
              <w:rPr>
                <w:szCs w:val="21"/>
                <w:vertAlign w:val="superscript"/>
              </w:rPr>
              <w:t xml:space="preserve"> (#</w:t>
            </w:r>
            <w:proofErr w:type="gramEnd"/>
            <w:r w:rsidR="005A3575" w:rsidRPr="00B65176">
              <w:rPr>
                <w:szCs w:val="21"/>
                <w:vertAlign w:val="superscript"/>
              </w:rPr>
              <w:t>)</w:t>
            </w:r>
            <w:r w:rsidR="005A3575" w:rsidRPr="00B65176">
              <w:rPr>
                <w:kern w:val="0"/>
                <w:szCs w:val="21"/>
              </w:rPr>
              <w:t xml:space="preserve">, </w:t>
            </w:r>
            <w:proofErr w:type="spellStart"/>
            <w:r w:rsidR="005A3575" w:rsidRPr="00B65176">
              <w:rPr>
                <w:kern w:val="0"/>
                <w:szCs w:val="21"/>
              </w:rPr>
              <w:t>Guiqiong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Liu</w:t>
            </w:r>
            <w:r w:rsidR="005A3575" w:rsidRPr="00B65176">
              <w:rPr>
                <w:szCs w:val="21"/>
                <w:vertAlign w:val="superscript"/>
              </w:rPr>
              <w:t xml:space="preserve"> (*)</w:t>
            </w:r>
            <w:r w:rsidR="005A3575" w:rsidRPr="00B65176">
              <w:rPr>
                <w:kern w:val="0"/>
                <w:szCs w:val="21"/>
              </w:rPr>
              <w:t xml:space="preserve">, </w:t>
            </w:r>
            <w:proofErr w:type="spellStart"/>
            <w:r w:rsidR="005A3575" w:rsidRPr="00B65176">
              <w:rPr>
                <w:kern w:val="0"/>
                <w:szCs w:val="21"/>
              </w:rPr>
              <w:t>Shaxuan</w:t>
            </w:r>
            <w:proofErr w:type="spellEnd"/>
            <w:r w:rsidR="005A3575" w:rsidRPr="00B65176">
              <w:rPr>
                <w:kern w:val="0"/>
                <w:szCs w:val="21"/>
              </w:rPr>
              <w:t xml:space="preserve"> Chi. 2022. Polygenic co-expression changes the testis growth, hormone secretion, spermatogenesis to prompt puberty in Hu sheep. Theriogenology,194, 116-125</w:t>
            </w:r>
          </w:p>
          <w:p w14:paraId="44FC8E4A" w14:textId="768F6131" w:rsidR="005A3575" w:rsidRPr="00B65176" w:rsidRDefault="00D379A1">
            <w:pPr>
              <w:spacing w:after="48" w:line="440" w:lineRule="atLeast"/>
              <w:outlineLvl w:val="0"/>
              <w:rPr>
                <w:kern w:val="0"/>
                <w:szCs w:val="21"/>
              </w:rPr>
            </w:pPr>
            <w:r w:rsidRPr="00B65176">
              <w:rPr>
                <w:rFonts w:hint="eastAsia"/>
                <w:kern w:val="0"/>
                <w:szCs w:val="21"/>
              </w:rPr>
              <w:t>11.</w:t>
            </w:r>
            <w:r w:rsidRPr="00B65176">
              <w:rPr>
                <w:kern w:val="0"/>
                <w:szCs w:val="21"/>
              </w:rPr>
              <w:t xml:space="preserve">Yuqing </w:t>
            </w:r>
            <w:proofErr w:type="gramStart"/>
            <w:r w:rsidRPr="00B65176">
              <w:rPr>
                <w:kern w:val="0"/>
                <w:szCs w:val="21"/>
              </w:rPr>
              <w:t>Chong</w:t>
            </w:r>
            <w:r w:rsidRPr="00B65176">
              <w:rPr>
                <w:szCs w:val="21"/>
                <w:vertAlign w:val="superscript"/>
              </w:rPr>
              <w:t xml:space="preserve"> (#</w:t>
            </w:r>
            <w:proofErr w:type="gramEnd"/>
            <w:r w:rsidRPr="00B65176">
              <w:rPr>
                <w:szCs w:val="21"/>
                <w:vertAlign w:val="superscript"/>
              </w:rPr>
              <w:t>)</w:t>
            </w:r>
            <w:r w:rsidRPr="00B65176">
              <w:rPr>
                <w:kern w:val="0"/>
                <w:szCs w:val="21"/>
              </w:rPr>
              <w:t xml:space="preserve">, </w:t>
            </w:r>
            <w:proofErr w:type="spellStart"/>
            <w:r w:rsidRPr="00B65176">
              <w:rPr>
                <w:kern w:val="0"/>
                <w:szCs w:val="21"/>
              </w:rPr>
              <w:t>Xunping</w:t>
            </w:r>
            <w:proofErr w:type="spellEnd"/>
            <w:r w:rsidRPr="00B65176">
              <w:rPr>
                <w:kern w:val="0"/>
                <w:szCs w:val="21"/>
              </w:rPr>
              <w:t xml:space="preserve"> </w:t>
            </w:r>
            <w:proofErr w:type="gramStart"/>
            <w:r w:rsidRPr="00B65176">
              <w:rPr>
                <w:kern w:val="0"/>
                <w:szCs w:val="21"/>
              </w:rPr>
              <w:t>Jiang</w:t>
            </w:r>
            <w:r w:rsidRPr="00B65176">
              <w:rPr>
                <w:szCs w:val="21"/>
                <w:vertAlign w:val="superscript"/>
              </w:rPr>
              <w:t xml:space="preserve"> (#</w:t>
            </w:r>
            <w:proofErr w:type="gramEnd"/>
            <w:r w:rsidRPr="00B65176">
              <w:rPr>
                <w:szCs w:val="21"/>
                <w:vertAlign w:val="superscript"/>
              </w:rPr>
              <w:t>)</w:t>
            </w:r>
            <w:r w:rsidRPr="00B65176">
              <w:rPr>
                <w:kern w:val="0"/>
                <w:szCs w:val="21"/>
              </w:rPr>
              <w:t xml:space="preserve">, </w:t>
            </w:r>
            <w:proofErr w:type="spellStart"/>
            <w:r w:rsidRPr="00B65176">
              <w:rPr>
                <w:kern w:val="0"/>
                <w:szCs w:val="21"/>
              </w:rPr>
              <w:t>Guiqiong</w:t>
            </w:r>
            <w:proofErr w:type="spellEnd"/>
            <w:r w:rsidRPr="00B65176">
              <w:rPr>
                <w:kern w:val="0"/>
                <w:szCs w:val="21"/>
              </w:rPr>
              <w:t xml:space="preserve"> Liu</w:t>
            </w:r>
            <w:r w:rsidRPr="00B65176">
              <w:rPr>
                <w:szCs w:val="21"/>
                <w:vertAlign w:val="superscript"/>
              </w:rPr>
              <w:t xml:space="preserve"> (*)</w:t>
            </w:r>
            <w:r w:rsidRPr="00B65176">
              <w:rPr>
                <w:szCs w:val="21"/>
              </w:rPr>
              <w:t xml:space="preserve">. </w:t>
            </w:r>
            <w:r w:rsidRPr="00B65176">
              <w:rPr>
                <w:color w:val="333333"/>
                <w:szCs w:val="21"/>
                <w:shd w:val="clear" w:color="auto" w:fill="FCFCFC"/>
              </w:rPr>
              <w:t xml:space="preserve">2022. </w:t>
            </w:r>
            <w:r w:rsidRPr="00B65176">
              <w:rPr>
                <w:kern w:val="0"/>
                <w:szCs w:val="21"/>
              </w:rPr>
              <w:t>An ancient positively selected BMPRIB missense variant increases litter size of Mongolian sheep populations following latitudinal gradient. Molecular Genetics and Genomics (2022) 297:155–167</w:t>
            </w:r>
          </w:p>
          <w:p w14:paraId="306AD35B" w14:textId="095B3E13" w:rsidR="005A3575" w:rsidRDefault="00D379A1" w:rsidP="00B65176">
            <w:pPr>
              <w:widowControl/>
              <w:tabs>
                <w:tab w:val="left" w:pos="720"/>
              </w:tabs>
              <w:spacing w:before="60" w:after="60" w:line="355" w:lineRule="auto"/>
              <w:rPr>
                <w:rFonts w:hint="eastAsia"/>
                <w:sz w:val="24"/>
              </w:rPr>
            </w:pPr>
            <w:r w:rsidRPr="00B65176">
              <w:rPr>
                <w:rFonts w:hint="eastAsia"/>
                <w:color w:val="333333"/>
                <w:szCs w:val="21"/>
                <w:shd w:val="clear" w:color="auto" w:fill="FCFCFC"/>
              </w:rPr>
              <w:t xml:space="preserve">12. </w:t>
            </w:r>
            <w:proofErr w:type="spellStart"/>
            <w:r w:rsidRPr="00B65176">
              <w:rPr>
                <w:color w:val="333333"/>
                <w:szCs w:val="21"/>
                <w:shd w:val="clear" w:color="auto" w:fill="FCFCFC"/>
              </w:rPr>
              <w:t>Yongjie</w:t>
            </w:r>
            <w:proofErr w:type="spellEnd"/>
            <w:r w:rsidRPr="00B65176">
              <w:rPr>
                <w:color w:val="333333"/>
                <w:szCs w:val="21"/>
                <w:shd w:val="clear" w:color="auto" w:fill="FCFCFC"/>
              </w:rPr>
              <w:t xml:space="preserve"> </w:t>
            </w:r>
            <w:proofErr w:type="gramStart"/>
            <w:r w:rsidRPr="00B65176">
              <w:rPr>
                <w:color w:val="333333"/>
                <w:szCs w:val="21"/>
                <w:shd w:val="clear" w:color="auto" w:fill="FCFCFC"/>
              </w:rPr>
              <w:t>Huang</w:t>
            </w:r>
            <w:r w:rsidRPr="00B65176">
              <w:rPr>
                <w:szCs w:val="21"/>
                <w:vertAlign w:val="superscript"/>
              </w:rPr>
              <w:t xml:space="preserve"> (#</w:t>
            </w:r>
            <w:proofErr w:type="gramEnd"/>
            <w:r w:rsidRPr="00B65176">
              <w:rPr>
                <w:szCs w:val="21"/>
                <w:vertAlign w:val="superscript"/>
              </w:rPr>
              <w:t>)</w:t>
            </w:r>
            <w:r w:rsidRPr="00B65176">
              <w:rPr>
                <w:color w:val="333333"/>
                <w:szCs w:val="21"/>
                <w:shd w:val="clear" w:color="auto" w:fill="FCFCFC"/>
              </w:rPr>
              <w:t xml:space="preserve">, </w:t>
            </w:r>
            <w:proofErr w:type="spellStart"/>
            <w:r w:rsidRPr="00B65176">
              <w:rPr>
                <w:color w:val="333333"/>
                <w:szCs w:val="21"/>
                <w:shd w:val="clear" w:color="auto" w:fill="FCFCFC"/>
              </w:rPr>
              <w:t>Xunping</w:t>
            </w:r>
            <w:proofErr w:type="spellEnd"/>
            <w:r w:rsidRPr="00B65176">
              <w:rPr>
                <w:color w:val="333333"/>
                <w:szCs w:val="21"/>
                <w:shd w:val="clear" w:color="auto" w:fill="FCFCFC"/>
              </w:rPr>
              <w:t xml:space="preserve"> </w:t>
            </w:r>
            <w:proofErr w:type="gramStart"/>
            <w:r w:rsidRPr="00B65176">
              <w:rPr>
                <w:color w:val="333333"/>
                <w:szCs w:val="21"/>
                <w:shd w:val="clear" w:color="auto" w:fill="FCFCFC"/>
              </w:rPr>
              <w:t>Jiang</w:t>
            </w:r>
            <w:r w:rsidRPr="00B65176">
              <w:rPr>
                <w:szCs w:val="21"/>
                <w:vertAlign w:val="superscript"/>
              </w:rPr>
              <w:t xml:space="preserve"> (#</w:t>
            </w:r>
            <w:proofErr w:type="gramEnd"/>
            <w:r w:rsidRPr="00B65176">
              <w:rPr>
                <w:szCs w:val="21"/>
                <w:vertAlign w:val="superscript"/>
              </w:rPr>
              <w:t>)</w:t>
            </w:r>
            <w:r w:rsidRPr="00B65176">
              <w:rPr>
                <w:color w:val="333333"/>
                <w:szCs w:val="21"/>
                <w:shd w:val="clear" w:color="auto" w:fill="FCFCFC"/>
              </w:rPr>
              <w:t xml:space="preserve">, Yinan Yan, </w:t>
            </w:r>
            <w:proofErr w:type="spellStart"/>
            <w:r w:rsidRPr="00B65176">
              <w:rPr>
                <w:color w:val="333333"/>
                <w:szCs w:val="21"/>
                <w:shd w:val="clear" w:color="auto" w:fill="FCFCFC"/>
              </w:rPr>
              <w:t>Guiqiong</w:t>
            </w:r>
            <w:proofErr w:type="spellEnd"/>
            <w:r w:rsidRPr="00B65176">
              <w:rPr>
                <w:color w:val="333333"/>
                <w:szCs w:val="21"/>
                <w:shd w:val="clear" w:color="auto" w:fill="FCFCFC"/>
              </w:rPr>
              <w:t xml:space="preserve"> Liu</w:t>
            </w:r>
            <w:r w:rsidRPr="00B65176">
              <w:rPr>
                <w:szCs w:val="21"/>
                <w:vertAlign w:val="superscript"/>
              </w:rPr>
              <w:t xml:space="preserve"> (*)</w:t>
            </w:r>
            <w:r w:rsidRPr="00B65176">
              <w:rPr>
                <w:color w:val="333333"/>
                <w:szCs w:val="21"/>
                <w:shd w:val="clear" w:color="auto" w:fill="FCFCFC"/>
              </w:rPr>
              <w:t xml:space="preserve">, </w:t>
            </w:r>
            <w:proofErr w:type="spellStart"/>
            <w:r w:rsidRPr="00B65176">
              <w:rPr>
                <w:color w:val="333333"/>
                <w:szCs w:val="21"/>
                <w:shd w:val="clear" w:color="auto" w:fill="FCFCFC"/>
              </w:rPr>
              <w:t>Chenhui</w:t>
            </w:r>
            <w:proofErr w:type="spellEnd"/>
            <w:r w:rsidRPr="00B65176">
              <w:rPr>
                <w:color w:val="333333"/>
                <w:szCs w:val="21"/>
                <w:shd w:val="clear" w:color="auto" w:fill="FCFCFC"/>
              </w:rPr>
              <w:t xml:space="preserve"> Liu. 2021. Expression of cell proliferation regulatory factors </w:t>
            </w:r>
            <w:r w:rsidRPr="00B65176">
              <w:rPr>
                <w:i/>
                <w:iCs/>
                <w:color w:val="333333"/>
                <w:szCs w:val="21"/>
                <w:shd w:val="clear" w:color="auto" w:fill="FCFCFC"/>
              </w:rPr>
              <w:t>bricd5</w:t>
            </w:r>
            <w:r w:rsidRPr="00B65176">
              <w:rPr>
                <w:color w:val="333333"/>
                <w:szCs w:val="21"/>
                <w:shd w:val="clear" w:color="auto" w:fill="FCFCFC"/>
              </w:rPr>
              <w:t>, </w:t>
            </w:r>
            <w:r w:rsidRPr="00B65176">
              <w:rPr>
                <w:i/>
                <w:iCs/>
                <w:color w:val="333333"/>
                <w:szCs w:val="21"/>
                <w:shd w:val="clear" w:color="auto" w:fill="FCFCFC"/>
              </w:rPr>
              <w:t>tnfrsf21</w:t>
            </w:r>
            <w:r w:rsidRPr="00B65176">
              <w:rPr>
                <w:color w:val="333333"/>
                <w:szCs w:val="21"/>
                <w:shd w:val="clear" w:color="auto" w:fill="FCFCFC"/>
              </w:rPr>
              <w:t>, </w:t>
            </w:r>
            <w:r w:rsidRPr="00B65176">
              <w:rPr>
                <w:i/>
                <w:iCs/>
                <w:color w:val="333333"/>
                <w:szCs w:val="21"/>
                <w:shd w:val="clear" w:color="auto" w:fill="FCFCFC"/>
              </w:rPr>
              <w:t>cdk1</w:t>
            </w:r>
            <w:r w:rsidRPr="00B65176">
              <w:rPr>
                <w:color w:val="333333"/>
                <w:szCs w:val="21"/>
                <w:shd w:val="clear" w:color="auto" w:fill="FCFCFC"/>
              </w:rPr>
              <w:t> correlates with expression of clock gene </w:t>
            </w:r>
            <w:r w:rsidRPr="00B65176">
              <w:rPr>
                <w:i/>
                <w:iCs/>
                <w:color w:val="333333"/>
                <w:szCs w:val="21"/>
                <w:shd w:val="clear" w:color="auto" w:fill="FCFCFC"/>
              </w:rPr>
              <w:t>cry1</w:t>
            </w:r>
            <w:r w:rsidRPr="00B65176">
              <w:rPr>
                <w:color w:val="333333"/>
                <w:szCs w:val="21"/>
                <w:shd w:val="clear" w:color="auto" w:fill="FCFCFC"/>
              </w:rPr>
              <w:t xml:space="preserve"> in </w:t>
            </w:r>
            <w:proofErr w:type="gramStart"/>
            <w:r w:rsidRPr="00B65176">
              <w:rPr>
                <w:color w:val="333333"/>
                <w:szCs w:val="21"/>
                <w:shd w:val="clear" w:color="auto" w:fill="FCFCFC"/>
              </w:rPr>
              <w:t>testes</w:t>
            </w:r>
            <w:proofErr w:type="gramEnd"/>
            <w:r w:rsidRPr="00B65176">
              <w:rPr>
                <w:color w:val="333333"/>
                <w:szCs w:val="21"/>
                <w:shd w:val="clear" w:color="auto" w:fill="FCFCFC"/>
              </w:rPr>
              <w:t xml:space="preserve"> of Hu rams during puberty. </w:t>
            </w:r>
            <w:r w:rsidRPr="00B65176">
              <w:rPr>
                <w:i/>
                <w:iCs/>
                <w:color w:val="333333"/>
                <w:szCs w:val="21"/>
                <w:shd w:val="clear" w:color="auto" w:fill="FCFCFC"/>
              </w:rPr>
              <w:t>Mol Biol Rep</w:t>
            </w:r>
            <w:r w:rsidRPr="00B65176">
              <w:rPr>
                <w:color w:val="333333"/>
                <w:szCs w:val="21"/>
                <w:shd w:val="clear" w:color="auto" w:fill="FCFCFC"/>
              </w:rPr>
              <w:t xml:space="preserve"> 48, 7379–7385. </w:t>
            </w:r>
          </w:p>
        </w:tc>
      </w:tr>
    </w:tbl>
    <w:p w14:paraId="300C999B" w14:textId="77777777" w:rsidR="00424593" w:rsidRDefault="00424593"/>
    <w:sectPr w:rsidR="00424593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6B7D" w14:textId="77777777" w:rsidR="00392216" w:rsidRDefault="00392216">
      <w:r>
        <w:separator/>
      </w:r>
    </w:p>
  </w:endnote>
  <w:endnote w:type="continuationSeparator" w:id="0">
    <w:p w14:paraId="7524B151" w14:textId="77777777" w:rsidR="00392216" w:rsidRDefault="0039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826F" w14:textId="77777777" w:rsidR="00392216" w:rsidRDefault="00392216">
      <w:r>
        <w:separator/>
      </w:r>
    </w:p>
  </w:footnote>
  <w:footnote w:type="continuationSeparator" w:id="0">
    <w:p w14:paraId="4792DBA2" w14:textId="77777777" w:rsidR="00392216" w:rsidRDefault="0039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8C77" w14:textId="77777777" w:rsidR="00424593" w:rsidRDefault="00424593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D62F5"/>
    <w:multiLevelType w:val="hybridMultilevel"/>
    <w:tmpl w:val="6204CB84"/>
    <w:lvl w:ilvl="0" w:tplc="D150855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9CD4FD1"/>
    <w:multiLevelType w:val="hybridMultilevel"/>
    <w:tmpl w:val="3F68D108"/>
    <w:lvl w:ilvl="0" w:tplc="A9A47112">
      <w:start w:val="12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CE6817"/>
    <w:multiLevelType w:val="hybridMultilevel"/>
    <w:tmpl w:val="09BCEF9C"/>
    <w:lvl w:ilvl="0" w:tplc="968E7410">
      <w:start w:val="12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DDE7B20"/>
    <w:multiLevelType w:val="multilevel"/>
    <w:tmpl w:val="7DDE7B20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4009488">
    <w:abstractNumId w:val="3"/>
  </w:num>
  <w:num w:numId="2" w16cid:durableId="843713041">
    <w:abstractNumId w:val="0"/>
  </w:num>
  <w:num w:numId="3" w16cid:durableId="1425809188">
    <w:abstractNumId w:val="1"/>
  </w:num>
  <w:num w:numId="4" w16cid:durableId="83495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8A3A3F"/>
    <w:rsid w:val="001A5412"/>
    <w:rsid w:val="001F3C18"/>
    <w:rsid w:val="0030553B"/>
    <w:rsid w:val="00392216"/>
    <w:rsid w:val="003A363B"/>
    <w:rsid w:val="00424593"/>
    <w:rsid w:val="00587AC1"/>
    <w:rsid w:val="005A3575"/>
    <w:rsid w:val="006168DE"/>
    <w:rsid w:val="006C3A5C"/>
    <w:rsid w:val="00752892"/>
    <w:rsid w:val="008661FA"/>
    <w:rsid w:val="008A3A3F"/>
    <w:rsid w:val="009C76F7"/>
    <w:rsid w:val="00B65176"/>
    <w:rsid w:val="00CD6A39"/>
    <w:rsid w:val="00D379A1"/>
    <w:rsid w:val="00D525F5"/>
    <w:rsid w:val="00EE132E"/>
    <w:rsid w:val="00F13705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AD102"/>
  <w15:docId w15:val="{15E21000-183A-4D01-B20A-3BEE7897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autoRedefine/>
    <w:uiPriority w:val="20"/>
    <w:qFormat/>
    <w:rsid w:val="005A3575"/>
    <w:rPr>
      <w:i/>
      <w:iCs/>
    </w:rPr>
  </w:style>
  <w:style w:type="character" w:styleId="ab">
    <w:name w:val="Hyperlink"/>
    <w:basedOn w:val="a0"/>
    <w:unhideWhenUsed/>
    <w:qFormat/>
    <w:rsid w:val="00D379A1"/>
    <w:rPr>
      <w:color w:val="0000FF" w:themeColor="hyperlink"/>
      <w:u w:val="single"/>
    </w:rPr>
  </w:style>
  <w:style w:type="character" w:customStyle="1" w:styleId="arttitle">
    <w:name w:val="art_title"/>
    <w:basedOn w:val="a0"/>
    <w:autoRedefine/>
    <w:qFormat/>
    <w:rsid w:val="00D379A1"/>
  </w:style>
  <w:style w:type="character" w:customStyle="1" w:styleId="serialtitle">
    <w:name w:val="serial_title"/>
    <w:basedOn w:val="a0"/>
    <w:autoRedefine/>
    <w:qFormat/>
    <w:rsid w:val="00D379A1"/>
  </w:style>
  <w:style w:type="character" w:customStyle="1" w:styleId="doilink">
    <w:name w:val="doi_link"/>
    <w:basedOn w:val="a0"/>
    <w:autoRedefine/>
    <w:qFormat/>
    <w:rsid w:val="00D379A1"/>
  </w:style>
  <w:style w:type="character" w:customStyle="1" w:styleId="authorname">
    <w:name w:val="authorname"/>
    <w:basedOn w:val="a0"/>
    <w:autoRedefine/>
    <w:qFormat/>
    <w:rsid w:val="00D379A1"/>
  </w:style>
  <w:style w:type="character" w:customStyle="1" w:styleId="separator">
    <w:name w:val="separator"/>
    <w:basedOn w:val="a0"/>
    <w:autoRedefine/>
    <w:qFormat/>
    <w:rsid w:val="00D379A1"/>
  </w:style>
  <w:style w:type="character" w:customStyle="1" w:styleId="4">
    <w:name w:val="日期4"/>
    <w:basedOn w:val="a0"/>
    <w:autoRedefine/>
    <w:qFormat/>
    <w:rsid w:val="00D3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1137</Words>
  <Characters>2548</Characters>
  <Application>Microsoft Office Word</Application>
  <DocSecurity>0</DocSecurity>
  <Lines>59</Lines>
  <Paragraphs>26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桂琼 刘</cp:lastModifiedBy>
  <cp:revision>6</cp:revision>
  <dcterms:created xsi:type="dcterms:W3CDTF">2015-11-26T01:58:00Z</dcterms:created>
  <dcterms:modified xsi:type="dcterms:W3CDTF">2025-10-13T03:18:00Z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