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CCB11">
      <w:pPr>
        <w:tabs>
          <w:tab w:val="left" w:pos="1630"/>
          <w:tab w:val="center" w:pos="4860"/>
        </w:tabs>
        <w:spacing w:line="360" w:lineRule="auto"/>
        <w:ind w:left="-180"/>
        <w:jc w:val="center"/>
        <w:rPr>
          <w:b/>
          <w:bCs/>
          <w:color w:val="000000"/>
          <w:sz w:val="32"/>
          <w:u w:val="single"/>
        </w:rPr>
      </w:pPr>
      <w:r>
        <w:rPr>
          <w:b/>
          <w:color w:val="000000"/>
          <w:sz w:val="32"/>
        </w:rPr>
        <w:t>CURRICULUM VITAE</w:t>
      </w:r>
    </w:p>
    <w:p w14:paraId="0B89E18E">
      <w:pPr>
        <w:tabs>
          <w:tab w:val="left" w:pos="840"/>
        </w:tabs>
        <w:rPr>
          <w:sz w:val="24"/>
        </w:rPr>
      </w:pPr>
    </w:p>
    <w:tbl>
      <w:tblPr>
        <w:tblStyle w:val="6"/>
        <w:tblW w:w="947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1704"/>
        <w:gridCol w:w="2127"/>
        <w:gridCol w:w="1133"/>
        <w:gridCol w:w="1128"/>
        <w:gridCol w:w="2111"/>
      </w:tblGrid>
      <w:tr w14:paraId="7474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trPr>
        <w:tc>
          <w:tcPr>
            <w:tcW w:w="7365" w:type="dxa"/>
            <w:gridSpan w:val="5"/>
            <w:shd w:val="clear" w:color="auto" w:fill="00B050"/>
            <w:vAlign w:val="center"/>
          </w:tcPr>
          <w:p w14:paraId="143EB754">
            <w:pPr>
              <w:jc w:val="left"/>
              <w:rPr>
                <w:b/>
                <w:sz w:val="24"/>
              </w:rPr>
            </w:pPr>
            <w:r>
              <w:rPr>
                <w:rFonts w:hint="eastAsia"/>
                <w:b/>
                <w:sz w:val="24"/>
              </w:rPr>
              <w:t xml:space="preserve">Personal Information </w:t>
            </w:r>
          </w:p>
        </w:tc>
        <w:tc>
          <w:tcPr>
            <w:tcW w:w="2111" w:type="dxa"/>
            <w:vMerge w:val="restart"/>
            <w:vAlign w:val="center"/>
          </w:tcPr>
          <w:p w14:paraId="6B4FFD1A">
            <w:pPr>
              <w:jc w:val="center"/>
              <w:rPr>
                <w:rFonts w:hint="default" w:eastAsia="宋体"/>
                <w:sz w:val="24"/>
                <w:lang w:val="en-US" w:eastAsia="zh-CN"/>
              </w:rPr>
            </w:pPr>
            <w:r>
              <w:rPr>
                <w:rFonts w:hint="default" w:eastAsia="宋体"/>
                <w:sz w:val="24"/>
                <w:lang w:val="en-US" w:eastAsia="zh-CN"/>
              </w:rPr>
              <w:drawing>
                <wp:inline distT="0" distB="0" distL="114300" distR="114300">
                  <wp:extent cx="1333500" cy="1714500"/>
                  <wp:effectExtent l="0" t="0" r="0" b="0"/>
                  <wp:docPr id="1" name="图片 1" descr="微信图片_202306291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629100845"/>
                          <pic:cNvPicPr>
                            <a:picLocks noChangeAspect="1"/>
                          </pic:cNvPicPr>
                        </pic:nvPicPr>
                        <pic:blipFill>
                          <a:blip r:embed="rId5"/>
                          <a:stretch>
                            <a:fillRect/>
                          </a:stretch>
                        </pic:blipFill>
                        <pic:spPr>
                          <a:xfrm>
                            <a:off x="0" y="0"/>
                            <a:ext cx="1333500" cy="1714500"/>
                          </a:xfrm>
                          <a:prstGeom prst="rect">
                            <a:avLst/>
                          </a:prstGeom>
                        </pic:spPr>
                      </pic:pic>
                    </a:graphicData>
                  </a:graphic>
                </wp:inline>
              </w:drawing>
            </w:r>
          </w:p>
        </w:tc>
      </w:tr>
      <w:tr w14:paraId="288D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trPr>
        <w:tc>
          <w:tcPr>
            <w:tcW w:w="1273" w:type="dxa"/>
            <w:vAlign w:val="center"/>
          </w:tcPr>
          <w:p w14:paraId="2534C062">
            <w:pPr>
              <w:jc w:val="center"/>
              <w:rPr>
                <w:sz w:val="24"/>
              </w:rPr>
            </w:pPr>
            <w:r>
              <w:rPr>
                <w:sz w:val="24"/>
              </w:rPr>
              <w:t>Name</w:t>
            </w:r>
          </w:p>
        </w:tc>
        <w:tc>
          <w:tcPr>
            <w:tcW w:w="1704" w:type="dxa"/>
            <w:vAlign w:val="center"/>
          </w:tcPr>
          <w:p w14:paraId="264A5CFB">
            <w:pPr>
              <w:jc w:val="center"/>
              <w:rPr>
                <w:rFonts w:hint="default" w:eastAsia="宋体"/>
                <w:sz w:val="24"/>
                <w:lang w:val="en-US" w:eastAsia="zh-CN"/>
              </w:rPr>
            </w:pPr>
            <w:r>
              <w:rPr>
                <w:rFonts w:hint="eastAsia"/>
                <w:sz w:val="24"/>
                <w:lang w:val="en-US" w:eastAsia="zh-CN"/>
              </w:rPr>
              <w:t>Jing Gong</w:t>
            </w:r>
          </w:p>
        </w:tc>
        <w:tc>
          <w:tcPr>
            <w:tcW w:w="2127" w:type="dxa"/>
            <w:vAlign w:val="center"/>
          </w:tcPr>
          <w:p w14:paraId="2F510A00">
            <w:pPr>
              <w:jc w:val="center"/>
              <w:rPr>
                <w:sz w:val="24"/>
              </w:rPr>
            </w:pPr>
            <w:r>
              <w:rPr>
                <w:sz w:val="24"/>
              </w:rPr>
              <w:t>Gender</w:t>
            </w:r>
          </w:p>
        </w:tc>
        <w:tc>
          <w:tcPr>
            <w:tcW w:w="2261" w:type="dxa"/>
            <w:gridSpan w:val="2"/>
            <w:tcMar>
              <w:left w:w="0" w:type="dxa"/>
              <w:right w:w="0" w:type="dxa"/>
            </w:tcMar>
            <w:vAlign w:val="center"/>
          </w:tcPr>
          <w:p w14:paraId="766FA0FD">
            <w:pPr>
              <w:jc w:val="center"/>
              <w:rPr>
                <w:rFonts w:hint="default" w:eastAsia="宋体"/>
                <w:sz w:val="24"/>
                <w:lang w:val="en-US" w:eastAsia="zh-CN"/>
              </w:rPr>
            </w:pPr>
            <w:r>
              <w:rPr>
                <w:rFonts w:hint="eastAsia"/>
                <w:sz w:val="24"/>
                <w:lang w:val="en-US" w:eastAsia="zh-CN"/>
              </w:rPr>
              <w:t>Female</w:t>
            </w:r>
          </w:p>
        </w:tc>
        <w:tc>
          <w:tcPr>
            <w:tcW w:w="2111" w:type="dxa"/>
            <w:vMerge w:val="continue"/>
            <w:vAlign w:val="center"/>
          </w:tcPr>
          <w:p w14:paraId="11B6B601">
            <w:pPr>
              <w:jc w:val="center"/>
              <w:rPr>
                <w:sz w:val="24"/>
              </w:rPr>
            </w:pPr>
          </w:p>
        </w:tc>
      </w:tr>
      <w:tr w14:paraId="097E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1" w:hRule="atLeast"/>
        </w:trPr>
        <w:tc>
          <w:tcPr>
            <w:tcW w:w="2977" w:type="dxa"/>
            <w:gridSpan w:val="2"/>
            <w:vAlign w:val="center"/>
          </w:tcPr>
          <w:p w14:paraId="66AE543C">
            <w:pPr>
              <w:jc w:val="center"/>
              <w:rPr>
                <w:sz w:val="24"/>
              </w:rPr>
            </w:pPr>
            <w:r>
              <w:rPr>
                <w:rFonts w:hint="eastAsia"/>
                <w:sz w:val="24"/>
              </w:rPr>
              <w:t>Position Title</w:t>
            </w:r>
          </w:p>
        </w:tc>
        <w:tc>
          <w:tcPr>
            <w:tcW w:w="4388" w:type="dxa"/>
            <w:gridSpan w:val="3"/>
            <w:vAlign w:val="center"/>
          </w:tcPr>
          <w:p w14:paraId="62EE779A">
            <w:pPr>
              <w:jc w:val="center"/>
              <w:rPr>
                <w:rFonts w:hint="default" w:eastAsia="宋体"/>
                <w:sz w:val="24"/>
                <w:lang w:val="en-US" w:eastAsia="zh-CN"/>
              </w:rPr>
            </w:pPr>
            <w:r>
              <w:rPr>
                <w:rFonts w:hint="eastAsia"/>
                <w:sz w:val="24"/>
                <w:lang w:val="en-US" w:eastAsia="zh-CN"/>
              </w:rPr>
              <w:t>Professor</w:t>
            </w:r>
          </w:p>
        </w:tc>
        <w:tc>
          <w:tcPr>
            <w:tcW w:w="2111" w:type="dxa"/>
            <w:vMerge w:val="continue"/>
          </w:tcPr>
          <w:p w14:paraId="58D3FE54">
            <w:pPr>
              <w:jc w:val="center"/>
              <w:rPr>
                <w:sz w:val="24"/>
              </w:rPr>
            </w:pPr>
          </w:p>
        </w:tc>
      </w:tr>
      <w:tr w14:paraId="0E0A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1" w:hRule="atLeast"/>
        </w:trPr>
        <w:tc>
          <w:tcPr>
            <w:tcW w:w="2977" w:type="dxa"/>
            <w:gridSpan w:val="2"/>
            <w:vAlign w:val="center"/>
          </w:tcPr>
          <w:p w14:paraId="2B4EF8DF">
            <w:pPr>
              <w:jc w:val="center"/>
              <w:rPr>
                <w:sz w:val="24"/>
              </w:rPr>
            </w:pPr>
            <w:r>
              <w:rPr>
                <w:rFonts w:hint="eastAsia"/>
                <w:sz w:val="24"/>
              </w:rPr>
              <w:t>Working Department</w:t>
            </w:r>
          </w:p>
        </w:tc>
        <w:tc>
          <w:tcPr>
            <w:tcW w:w="4388" w:type="dxa"/>
            <w:gridSpan w:val="3"/>
            <w:vAlign w:val="center"/>
          </w:tcPr>
          <w:p w14:paraId="58079670">
            <w:pPr>
              <w:jc w:val="center"/>
              <w:rPr>
                <w:sz w:val="24"/>
              </w:rPr>
            </w:pPr>
            <w:r>
              <w:rPr>
                <w:rFonts w:hint="eastAsia"/>
                <w:sz w:val="24"/>
              </w:rPr>
              <w:t>Department</w:t>
            </w:r>
            <w:r>
              <w:rPr>
                <w:sz w:val="24"/>
              </w:rPr>
              <w:t xml:space="preserve"> of bioinformatics, </w:t>
            </w:r>
            <w:r>
              <w:fldChar w:fldCharType="begin"/>
            </w:r>
            <w:r>
              <w:instrText xml:space="preserve"> HYPERLINK "http://coi.hzau.edu.cn/" \t "_blank" </w:instrText>
            </w:r>
            <w:r>
              <w:fldChar w:fldCharType="separate"/>
            </w:r>
            <w:r>
              <w:rPr>
                <w:sz w:val="24"/>
              </w:rPr>
              <w:t>College of informatics</w:t>
            </w:r>
            <w:r>
              <w:rPr>
                <w:sz w:val="24"/>
              </w:rPr>
              <w:fldChar w:fldCharType="end"/>
            </w:r>
          </w:p>
        </w:tc>
        <w:tc>
          <w:tcPr>
            <w:tcW w:w="2111" w:type="dxa"/>
            <w:vMerge w:val="continue"/>
          </w:tcPr>
          <w:p w14:paraId="6F99D094">
            <w:pPr>
              <w:jc w:val="center"/>
              <w:rPr>
                <w:sz w:val="24"/>
              </w:rPr>
            </w:pPr>
          </w:p>
        </w:tc>
      </w:tr>
      <w:tr w14:paraId="7FD7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trPr>
        <w:tc>
          <w:tcPr>
            <w:tcW w:w="1273" w:type="dxa"/>
            <w:tcMar>
              <w:left w:w="0" w:type="dxa"/>
              <w:right w:w="0" w:type="dxa"/>
            </w:tcMar>
            <w:vAlign w:val="center"/>
          </w:tcPr>
          <w:p w14:paraId="564A51EA">
            <w:pPr>
              <w:jc w:val="center"/>
              <w:rPr>
                <w:sz w:val="24"/>
              </w:rPr>
            </w:pPr>
            <w:r>
              <w:rPr>
                <w:rFonts w:hint="eastAsia"/>
                <w:sz w:val="24"/>
              </w:rPr>
              <w:t>Email</w:t>
            </w:r>
          </w:p>
        </w:tc>
        <w:tc>
          <w:tcPr>
            <w:tcW w:w="6092" w:type="dxa"/>
            <w:gridSpan w:val="4"/>
            <w:vAlign w:val="center"/>
          </w:tcPr>
          <w:p w14:paraId="74CE761B">
            <w:pPr>
              <w:jc w:val="center"/>
              <w:rPr>
                <w:sz w:val="24"/>
              </w:rPr>
            </w:pPr>
            <w:r>
              <w:rPr>
                <w:sz w:val="24"/>
              </w:rPr>
              <w:t xml:space="preserve"> </w:t>
            </w:r>
            <w:r>
              <w:rPr>
                <w:rFonts w:ascii="Times New Roman" w:hAnsi="Times New Roman" w:cs="Times New Roman"/>
                <w:color w:val="000000"/>
                <w:kern w:val="0"/>
                <w:sz w:val="22"/>
                <w:szCs w:val="22"/>
              </w:rPr>
              <w:t xml:space="preserve"> </w:t>
            </w:r>
            <w:r>
              <w:rPr>
                <w:rFonts w:ascii="Times New Roman" w:hAnsi="Times New Roman" w:cs="Times New Roman"/>
                <w:color w:val="0070C1"/>
                <w:kern w:val="0"/>
                <w:sz w:val="22"/>
                <w:szCs w:val="22"/>
              </w:rPr>
              <w:t>gong.jing@mail.hzau.edu.cn</w:t>
            </w:r>
          </w:p>
        </w:tc>
        <w:tc>
          <w:tcPr>
            <w:tcW w:w="2111" w:type="dxa"/>
            <w:vMerge w:val="continue"/>
          </w:tcPr>
          <w:p w14:paraId="0B0B9CFD">
            <w:pPr>
              <w:jc w:val="center"/>
              <w:rPr>
                <w:sz w:val="24"/>
              </w:rPr>
            </w:pPr>
          </w:p>
        </w:tc>
      </w:tr>
      <w:tr w14:paraId="0DBF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273" w:type="dxa"/>
            <w:tcMar>
              <w:left w:w="0" w:type="dxa"/>
              <w:right w:w="0" w:type="dxa"/>
            </w:tcMar>
            <w:vAlign w:val="center"/>
          </w:tcPr>
          <w:p w14:paraId="729D3627">
            <w:pPr>
              <w:jc w:val="center"/>
              <w:rPr>
                <w:sz w:val="24"/>
              </w:rPr>
            </w:pPr>
            <w:r>
              <w:rPr>
                <w:rFonts w:hint="eastAsia"/>
                <w:sz w:val="24"/>
              </w:rPr>
              <w:t>Address</w:t>
            </w:r>
          </w:p>
        </w:tc>
        <w:tc>
          <w:tcPr>
            <w:tcW w:w="6092" w:type="dxa"/>
            <w:gridSpan w:val="4"/>
            <w:vAlign w:val="center"/>
          </w:tcPr>
          <w:p w14:paraId="5329C705">
            <w:pPr>
              <w:widowControl/>
              <w:autoSpaceDE w:val="0"/>
              <w:autoSpaceDN w:val="0"/>
              <w:adjustRightInd w:val="0"/>
              <w:jc w:val="left"/>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 Shizishan Jie, Hongshan Qu, Wuhan 430070, China</w:t>
            </w:r>
          </w:p>
          <w:p w14:paraId="077FDF4F">
            <w:pPr>
              <w:jc w:val="center"/>
              <w:rPr>
                <w:sz w:val="24"/>
              </w:rPr>
            </w:pPr>
          </w:p>
        </w:tc>
        <w:tc>
          <w:tcPr>
            <w:tcW w:w="2111" w:type="dxa"/>
            <w:vMerge w:val="continue"/>
          </w:tcPr>
          <w:p w14:paraId="65F8BED1">
            <w:pPr>
              <w:jc w:val="center"/>
              <w:rPr>
                <w:sz w:val="24"/>
              </w:rPr>
            </w:pPr>
          </w:p>
        </w:tc>
      </w:tr>
      <w:tr w14:paraId="719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trPr>
        <w:tc>
          <w:tcPr>
            <w:tcW w:w="1273" w:type="dxa"/>
            <w:tcMar>
              <w:left w:w="0" w:type="dxa"/>
              <w:right w:w="0" w:type="dxa"/>
            </w:tcMar>
            <w:vAlign w:val="center"/>
          </w:tcPr>
          <w:p w14:paraId="1182897C">
            <w:pPr>
              <w:jc w:val="center"/>
              <w:rPr>
                <w:sz w:val="24"/>
              </w:rPr>
            </w:pPr>
            <w:r>
              <w:rPr>
                <w:rFonts w:hint="eastAsia"/>
                <w:sz w:val="24"/>
              </w:rPr>
              <w:t>Tel</w:t>
            </w:r>
          </w:p>
        </w:tc>
        <w:tc>
          <w:tcPr>
            <w:tcW w:w="3831" w:type="dxa"/>
            <w:gridSpan w:val="2"/>
            <w:vAlign w:val="center"/>
          </w:tcPr>
          <w:p w14:paraId="2862AD45">
            <w:pPr>
              <w:jc w:val="center"/>
              <w:rPr>
                <w:rFonts w:hint="default" w:eastAsia="宋体"/>
                <w:sz w:val="24"/>
                <w:lang w:val="en-US" w:eastAsia="zh-CN"/>
              </w:rPr>
            </w:pPr>
            <w:r>
              <w:rPr>
                <w:rFonts w:hint="eastAsia"/>
                <w:sz w:val="24"/>
                <w:lang w:val="en-US" w:eastAsia="zh-CN"/>
              </w:rPr>
              <w:t>189711176892</w:t>
            </w:r>
          </w:p>
        </w:tc>
        <w:tc>
          <w:tcPr>
            <w:tcW w:w="1133" w:type="dxa"/>
            <w:vAlign w:val="center"/>
          </w:tcPr>
          <w:p w14:paraId="41D4DDF2">
            <w:pPr>
              <w:jc w:val="center"/>
              <w:rPr>
                <w:sz w:val="24"/>
              </w:rPr>
            </w:pPr>
            <w:r>
              <w:rPr>
                <w:rFonts w:hint="eastAsia"/>
                <w:sz w:val="24"/>
              </w:rPr>
              <w:t xml:space="preserve">Fax </w:t>
            </w:r>
          </w:p>
        </w:tc>
        <w:tc>
          <w:tcPr>
            <w:tcW w:w="3239" w:type="dxa"/>
            <w:gridSpan w:val="2"/>
            <w:vAlign w:val="center"/>
          </w:tcPr>
          <w:p w14:paraId="74595EAB">
            <w:pPr>
              <w:jc w:val="center"/>
              <w:rPr>
                <w:sz w:val="24"/>
              </w:rPr>
            </w:pPr>
          </w:p>
        </w:tc>
      </w:tr>
      <w:tr w14:paraId="6916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9476" w:type="dxa"/>
            <w:gridSpan w:val="6"/>
            <w:shd w:val="clear" w:color="auto" w:fill="00B050"/>
            <w:vAlign w:val="center"/>
          </w:tcPr>
          <w:p w14:paraId="1BFA082D">
            <w:pPr>
              <w:jc w:val="left"/>
              <w:rPr>
                <w:b/>
                <w:sz w:val="24"/>
              </w:rPr>
            </w:pPr>
            <w:r>
              <w:rPr>
                <w:rFonts w:hint="eastAsia"/>
                <w:b/>
                <w:sz w:val="24"/>
              </w:rPr>
              <w:t xml:space="preserve">Research Interest </w:t>
            </w:r>
          </w:p>
        </w:tc>
      </w:tr>
      <w:tr w14:paraId="3D4B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trPr>
        <w:tc>
          <w:tcPr>
            <w:tcW w:w="9476" w:type="dxa"/>
            <w:gridSpan w:val="6"/>
            <w:tcMar>
              <w:left w:w="0" w:type="dxa"/>
              <w:right w:w="0" w:type="dxa"/>
            </w:tcMar>
            <w:vAlign w:val="center"/>
          </w:tcPr>
          <w:p w14:paraId="0DAFC440">
            <w:pPr>
              <w:pStyle w:val="13"/>
              <w:keepNext w:val="0"/>
              <w:keepLines w:val="0"/>
              <w:pageBreakBefore w:val="0"/>
              <w:widowControl w:val="0"/>
              <w:numPr>
                <w:ilvl w:val="0"/>
                <w:numId w:val="1"/>
              </w:numPr>
              <w:kinsoku/>
              <w:wordWrap/>
              <w:overflowPunct/>
              <w:topLinePunct w:val="0"/>
              <w:autoSpaceDE/>
              <w:autoSpaceDN/>
              <w:bidi w:val="0"/>
              <w:adjustRightInd/>
              <w:snapToGrid/>
              <w:spacing w:line="288" w:lineRule="auto"/>
              <w:ind w:left="448" w:hanging="448" w:firstLineChars="0"/>
              <w:textAlignment w:val="auto"/>
              <w:rPr>
                <w:rFonts w:ascii="Times New Roman" w:hAnsi="Times New Roman" w:cs="Times New Roman"/>
                <w:sz w:val="22"/>
                <w:szCs w:val="22"/>
              </w:rPr>
            </w:pPr>
            <w:r>
              <w:rPr>
                <w:rFonts w:ascii="Times New Roman" w:hAnsi="Times New Roman" w:cs="Times New Roman"/>
                <w:sz w:val="22"/>
                <w:szCs w:val="22"/>
              </w:rPr>
              <w:t>Big data mining and integrative analysis of multi-omics data, including DNA</w:t>
            </w:r>
            <w:r>
              <w:rPr>
                <w:rFonts w:hint="eastAsia" w:ascii="Times New Roman" w:hAnsi="Times New Roman" w:cs="Times New Roman"/>
                <w:sz w:val="22"/>
                <w:szCs w:val="22"/>
                <w:lang w:val="en-US" w:eastAsia="zh-CN"/>
              </w:rPr>
              <w:t>-seq</w:t>
            </w:r>
            <w:r>
              <w:rPr>
                <w:rFonts w:ascii="Times New Roman" w:hAnsi="Times New Roman" w:cs="Times New Roman"/>
                <w:sz w:val="22"/>
                <w:szCs w:val="22"/>
              </w:rPr>
              <w:t xml:space="preserve"> and RNA</w:t>
            </w:r>
            <w:r>
              <w:rPr>
                <w:rFonts w:hint="eastAsia" w:ascii="Times New Roman" w:hAnsi="Times New Roman" w:cs="Times New Roman"/>
                <w:sz w:val="22"/>
                <w:szCs w:val="22"/>
                <w:lang w:val="en-US" w:eastAsia="zh-CN"/>
              </w:rPr>
              <w:t>-seq</w:t>
            </w:r>
            <w:r>
              <w:rPr>
                <w:rFonts w:ascii="Times New Roman" w:hAnsi="Times New Roman" w:cs="Times New Roman"/>
                <w:sz w:val="22"/>
                <w:szCs w:val="22"/>
              </w:rPr>
              <w:t>, proteomics, epigenetics, to decipher biological mechanisms.</w:t>
            </w:r>
          </w:p>
          <w:p w14:paraId="49596D5C">
            <w:pPr>
              <w:pStyle w:val="13"/>
              <w:keepNext w:val="0"/>
              <w:keepLines w:val="0"/>
              <w:pageBreakBefore w:val="0"/>
              <w:widowControl w:val="0"/>
              <w:numPr>
                <w:ilvl w:val="0"/>
                <w:numId w:val="1"/>
              </w:numPr>
              <w:kinsoku/>
              <w:wordWrap/>
              <w:overflowPunct/>
              <w:topLinePunct w:val="0"/>
              <w:autoSpaceDE/>
              <w:autoSpaceDN/>
              <w:bidi w:val="0"/>
              <w:adjustRightInd/>
              <w:snapToGrid/>
              <w:spacing w:line="288" w:lineRule="auto"/>
              <w:ind w:left="448" w:hanging="448" w:firstLineChars="0"/>
              <w:textAlignment w:val="auto"/>
              <w:rPr>
                <w:sz w:val="24"/>
              </w:rPr>
            </w:pPr>
            <w:r>
              <w:rPr>
                <w:rFonts w:hint="default" w:ascii="Times New Roman" w:hAnsi="Times New Roman" w:cs="Times New Roman"/>
                <w:sz w:val="22"/>
                <w:szCs w:val="22"/>
                <w:lang w:val="en-US" w:eastAsia="zh-CN"/>
              </w:rPr>
              <w:t>AI-driven genomics for predictive models of variant function and gene-regulatory mechanism.</w:t>
            </w:r>
            <w:bookmarkStart w:id="0" w:name="_GoBack"/>
            <w:bookmarkEnd w:id="0"/>
          </w:p>
        </w:tc>
      </w:tr>
      <w:tr w14:paraId="277D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9476" w:type="dxa"/>
            <w:gridSpan w:val="6"/>
            <w:shd w:val="clear" w:color="auto" w:fill="00B050"/>
            <w:vAlign w:val="center"/>
          </w:tcPr>
          <w:p w14:paraId="6D335184">
            <w:pPr>
              <w:jc w:val="left"/>
              <w:rPr>
                <w:b/>
                <w:sz w:val="24"/>
              </w:rPr>
            </w:pPr>
            <w:r>
              <w:rPr>
                <w:rFonts w:hint="eastAsia"/>
                <w:b/>
                <w:sz w:val="24"/>
              </w:rPr>
              <w:t>Professional Memberships</w:t>
            </w:r>
          </w:p>
        </w:tc>
      </w:tr>
      <w:tr w14:paraId="4BC6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3" w:hRule="atLeast"/>
        </w:trPr>
        <w:tc>
          <w:tcPr>
            <w:tcW w:w="9476" w:type="dxa"/>
            <w:gridSpan w:val="6"/>
            <w:vAlign w:val="center"/>
          </w:tcPr>
          <w:p w14:paraId="21E22644">
            <w:pPr>
              <w:pStyle w:val="13"/>
              <w:numPr>
                <w:ilvl w:val="0"/>
                <w:numId w:val="1"/>
              </w:numPr>
              <w:ind w:left="450" w:hanging="450" w:firstLineChars="0"/>
              <w:rPr>
                <w:rFonts w:ascii="Times New Roman" w:hAnsi="Times New Roman" w:cs="Times New Roman"/>
                <w:sz w:val="22"/>
                <w:szCs w:val="22"/>
              </w:rPr>
            </w:pPr>
            <w:r>
              <w:rPr>
                <w:rFonts w:ascii="Times New Roman" w:hAnsi="Times New Roman" w:cs="Times New Roman"/>
                <w:sz w:val="22"/>
                <w:szCs w:val="22"/>
              </w:rPr>
              <w:t>China Computer Federation (CCF), Member</w:t>
            </w:r>
          </w:p>
          <w:p w14:paraId="289C02CB">
            <w:pPr>
              <w:pStyle w:val="13"/>
              <w:numPr>
                <w:ilvl w:val="0"/>
                <w:numId w:val="1"/>
              </w:numPr>
              <w:ind w:left="450" w:hanging="450" w:firstLineChars="0"/>
              <w:rPr>
                <w:rFonts w:ascii="Times New Roman" w:hAnsi="Times New Roman" w:cs="Times New Roman"/>
                <w:sz w:val="22"/>
                <w:szCs w:val="22"/>
              </w:rPr>
            </w:pPr>
            <w:r>
              <w:rPr>
                <w:rFonts w:hint="eastAsia" w:ascii="Times New Roman" w:hAnsi="Times New Roman" w:cs="Times New Roman"/>
                <w:sz w:val="22"/>
                <w:szCs w:val="22"/>
                <w:lang w:val="en-US" w:eastAsia="zh-CN"/>
              </w:rPr>
              <w:t xml:space="preserve">China </w:t>
            </w:r>
            <w:r>
              <w:rPr>
                <w:rFonts w:ascii="Times New Roman" w:hAnsi="Times New Roman" w:cs="Times New Roman"/>
                <w:sz w:val="22"/>
                <w:szCs w:val="22"/>
              </w:rPr>
              <w:t>Bioinformatics Technical Committee</w:t>
            </w:r>
            <w:r>
              <w:rPr>
                <w:rFonts w:hint="eastAsia" w:cs="Times New Roman"/>
                <w:sz w:val="22"/>
                <w:szCs w:val="22"/>
                <w:lang w:val="en-US" w:eastAsia="zh-CN"/>
              </w:rPr>
              <w:t xml:space="preserve">, </w:t>
            </w:r>
            <w:r>
              <w:rPr>
                <w:rFonts w:ascii="Times New Roman" w:hAnsi="Times New Roman" w:cs="Times New Roman"/>
                <w:sz w:val="22"/>
                <w:szCs w:val="22"/>
              </w:rPr>
              <w:t>Member</w:t>
            </w:r>
          </w:p>
          <w:p w14:paraId="54A4CB78">
            <w:pPr>
              <w:pStyle w:val="13"/>
              <w:numPr>
                <w:ilvl w:val="0"/>
                <w:numId w:val="1"/>
              </w:numPr>
              <w:ind w:left="450" w:hanging="450" w:firstLineChars="0"/>
              <w:rPr>
                <w:rFonts w:ascii="Segoe UI" w:hAnsi="Segoe UI" w:eastAsia="Segoe UI" w:cs="Segoe UI"/>
                <w:i w:val="0"/>
                <w:iCs w:val="0"/>
                <w:caps w:val="0"/>
                <w:spacing w:val="0"/>
                <w:sz w:val="24"/>
                <w:szCs w:val="24"/>
                <w:shd w:val="clear" w:fill="FFFFFF"/>
              </w:rPr>
            </w:pPr>
            <w:r>
              <w:rPr>
                <w:rFonts w:ascii="Times New Roman" w:hAnsi="Times New Roman" w:cs="Times New Roman"/>
                <w:sz w:val="22"/>
                <w:szCs w:val="22"/>
              </w:rPr>
              <w:t>Reviewer for Nucleic acids research</w:t>
            </w:r>
            <w:r>
              <w:rPr>
                <w:rFonts w:hint="eastAsia" w:ascii="Times New Roman" w:hAnsi="Times New Roman" w:cs="Times New Roman"/>
                <w:sz w:val="22"/>
                <w:szCs w:val="22"/>
                <w:lang w:eastAsia="zh-CN"/>
              </w:rPr>
              <w:t>、</w:t>
            </w:r>
            <w:r>
              <w:rPr>
                <w:rFonts w:ascii="Times New Roman" w:hAnsi="Times New Roman" w:cs="Times New Roman"/>
                <w:sz w:val="22"/>
                <w:szCs w:val="22"/>
              </w:rPr>
              <w:t>American Journal of Human Genetics</w:t>
            </w:r>
            <w:r>
              <w:rPr>
                <w:rFonts w:hint="eastAsia" w:ascii="Times New Roman" w:hAnsi="Times New Roman" w:cs="Times New Roman"/>
                <w:sz w:val="22"/>
                <w:szCs w:val="22"/>
                <w:lang w:eastAsia="zh-CN"/>
              </w:rPr>
              <w:t>、</w:t>
            </w:r>
            <w:r>
              <w:rPr>
                <w:rFonts w:ascii="Times New Roman" w:hAnsi="Times New Roman" w:cs="Times New Roman"/>
                <w:sz w:val="22"/>
                <w:szCs w:val="22"/>
              </w:rPr>
              <w:t>Briefings in Bioinformatics</w:t>
            </w:r>
            <w:r>
              <w:rPr>
                <w:rFonts w:hint="eastAsia" w:cs="Times New Roman"/>
                <w:sz w:val="22"/>
                <w:szCs w:val="22"/>
                <w:lang w:val="en-US" w:eastAsia="zh-CN"/>
              </w:rPr>
              <w:t>,</w:t>
            </w:r>
            <w:r>
              <w:rPr>
                <w:rFonts w:hint="eastAsia" w:ascii="Times New Roman" w:hAnsi="Times New Roman" w:cs="Times New Roman"/>
                <w:sz w:val="22"/>
                <w:szCs w:val="22"/>
                <w:lang w:val="en-US" w:eastAsia="zh-CN"/>
              </w:rPr>
              <w:t xml:space="preserve"> </w:t>
            </w:r>
            <w:r>
              <w:rPr>
                <w:rFonts w:ascii="Times New Roman" w:hAnsi="Times New Roman" w:cs="Times New Roman"/>
                <w:sz w:val="22"/>
                <w:szCs w:val="22"/>
              </w:rPr>
              <w:t>etc.</w:t>
            </w:r>
          </w:p>
        </w:tc>
      </w:tr>
      <w:tr w14:paraId="6F6B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9476" w:type="dxa"/>
            <w:gridSpan w:val="6"/>
            <w:shd w:val="clear" w:color="auto" w:fill="00B050"/>
            <w:vAlign w:val="center"/>
          </w:tcPr>
          <w:p w14:paraId="1C74CFFC">
            <w:pPr>
              <w:jc w:val="left"/>
              <w:rPr>
                <w:b/>
                <w:sz w:val="24"/>
              </w:rPr>
            </w:pPr>
            <w:r>
              <w:rPr>
                <w:rFonts w:hint="eastAsia"/>
                <w:b/>
                <w:sz w:val="24"/>
              </w:rPr>
              <w:t>Other Roles</w:t>
            </w:r>
          </w:p>
        </w:tc>
      </w:tr>
      <w:tr w14:paraId="22E8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476" w:type="dxa"/>
            <w:gridSpan w:val="6"/>
            <w:vAlign w:val="center"/>
          </w:tcPr>
          <w:p w14:paraId="307E5C76">
            <w:pPr>
              <w:pStyle w:val="13"/>
              <w:ind w:left="420" w:firstLine="0" w:firstLineChars="0"/>
              <w:rPr>
                <w:rFonts w:hint="default" w:eastAsia="宋体"/>
                <w:sz w:val="24"/>
                <w:lang w:val="en-US" w:eastAsia="zh-CN"/>
              </w:rPr>
            </w:pPr>
            <w:r>
              <w:rPr>
                <w:rFonts w:hint="eastAsia"/>
                <w:sz w:val="24"/>
                <w:lang w:val="en-US" w:eastAsia="zh-CN"/>
              </w:rPr>
              <w:t>None</w:t>
            </w:r>
          </w:p>
        </w:tc>
      </w:tr>
      <w:tr w14:paraId="0F59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476" w:type="dxa"/>
            <w:gridSpan w:val="6"/>
            <w:shd w:val="clear" w:color="auto" w:fill="00B050"/>
            <w:vAlign w:val="center"/>
          </w:tcPr>
          <w:p w14:paraId="70A2C54F">
            <w:pPr>
              <w:rPr>
                <w:b/>
                <w:sz w:val="24"/>
              </w:rPr>
            </w:pPr>
            <w:r>
              <w:rPr>
                <w:rFonts w:hint="eastAsia"/>
                <w:b/>
                <w:sz w:val="24"/>
              </w:rPr>
              <w:t>Education &amp; Working Experience</w:t>
            </w:r>
          </w:p>
        </w:tc>
      </w:tr>
      <w:tr w14:paraId="4027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9476" w:type="dxa"/>
            <w:gridSpan w:val="6"/>
            <w:vAlign w:val="center"/>
          </w:tcPr>
          <w:p w14:paraId="259F78D5">
            <w:pPr>
              <w:pStyle w:val="13"/>
              <w:keepNext w:val="0"/>
              <w:keepLines w:val="0"/>
              <w:pageBreakBefore w:val="0"/>
              <w:widowControl w:val="0"/>
              <w:numPr>
                <w:ilvl w:val="0"/>
                <w:numId w:val="1"/>
              </w:numPr>
              <w:kinsoku/>
              <w:wordWrap/>
              <w:overflowPunct/>
              <w:topLinePunct w:val="0"/>
              <w:autoSpaceDE/>
              <w:autoSpaceDN/>
              <w:bidi w:val="0"/>
              <w:adjustRightInd/>
              <w:snapToGrid/>
              <w:spacing w:line="288" w:lineRule="auto"/>
              <w:ind w:left="448" w:hanging="448" w:firstLineChars="0"/>
              <w:textAlignment w:val="auto"/>
              <w:rPr>
                <w:rFonts w:ascii="Times New Roman" w:hAnsi="Times New Roman" w:cs="Times New Roman"/>
                <w:sz w:val="22"/>
                <w:szCs w:val="22"/>
              </w:rPr>
            </w:pPr>
            <w:r>
              <w:rPr>
                <w:rFonts w:ascii="Times New Roman" w:hAnsi="Times New Roman" w:cs="Times New Roman"/>
                <w:sz w:val="22"/>
                <w:szCs w:val="22"/>
              </w:rPr>
              <w:t xml:space="preserve">10/2018-present Professor in Bioinformatics, College of Informatics, Huazhong Agricultural University, Wuhan, China </w:t>
            </w:r>
          </w:p>
          <w:p w14:paraId="66109F21">
            <w:pPr>
              <w:pStyle w:val="13"/>
              <w:keepNext w:val="0"/>
              <w:keepLines w:val="0"/>
              <w:pageBreakBefore w:val="0"/>
              <w:widowControl w:val="0"/>
              <w:numPr>
                <w:ilvl w:val="0"/>
                <w:numId w:val="1"/>
              </w:numPr>
              <w:kinsoku/>
              <w:wordWrap/>
              <w:overflowPunct/>
              <w:topLinePunct w:val="0"/>
              <w:autoSpaceDE/>
              <w:autoSpaceDN/>
              <w:bidi w:val="0"/>
              <w:adjustRightInd/>
              <w:snapToGrid/>
              <w:spacing w:line="288" w:lineRule="auto"/>
              <w:ind w:left="448" w:hanging="448" w:firstLineChars="0"/>
              <w:textAlignment w:val="auto"/>
              <w:rPr>
                <w:rFonts w:ascii="Times New Roman" w:hAnsi="Times New Roman" w:cs="Times New Roman"/>
                <w:sz w:val="22"/>
                <w:szCs w:val="22"/>
              </w:rPr>
            </w:pPr>
            <w:r>
              <w:rPr>
                <w:rFonts w:ascii="Times New Roman" w:hAnsi="Times New Roman" w:cs="Times New Roman"/>
                <w:sz w:val="22"/>
                <w:szCs w:val="22"/>
              </w:rPr>
              <w:t>05/2018-09/2018 Associate professor, School of public health, Huazhong University of Science &amp; Technology, Wuhan, China</w:t>
            </w:r>
          </w:p>
          <w:p w14:paraId="616F3355">
            <w:pPr>
              <w:pStyle w:val="13"/>
              <w:keepNext w:val="0"/>
              <w:keepLines w:val="0"/>
              <w:pageBreakBefore w:val="0"/>
              <w:widowControl w:val="0"/>
              <w:numPr>
                <w:ilvl w:val="0"/>
                <w:numId w:val="1"/>
              </w:numPr>
              <w:kinsoku/>
              <w:wordWrap/>
              <w:overflowPunct/>
              <w:topLinePunct w:val="0"/>
              <w:autoSpaceDE/>
              <w:autoSpaceDN/>
              <w:bidi w:val="0"/>
              <w:adjustRightInd/>
              <w:snapToGrid/>
              <w:spacing w:line="288" w:lineRule="auto"/>
              <w:ind w:left="448" w:hanging="448" w:firstLineChars="0"/>
              <w:textAlignment w:val="auto"/>
              <w:rPr>
                <w:rFonts w:ascii="Times New Roman" w:hAnsi="Times New Roman" w:cs="Times New Roman"/>
                <w:sz w:val="22"/>
                <w:szCs w:val="22"/>
              </w:rPr>
            </w:pPr>
            <w:r>
              <w:rPr>
                <w:rFonts w:ascii="Times New Roman" w:hAnsi="Times New Roman" w:cs="Times New Roman"/>
                <w:sz w:val="22"/>
                <w:szCs w:val="22"/>
              </w:rPr>
              <w:t xml:space="preserve">04/2016-04/2018 Post-doctoral Research Fellow, University of Texas Health Science Center at Houston Medical School, USA </w:t>
            </w:r>
          </w:p>
          <w:p w14:paraId="19E99F60">
            <w:pPr>
              <w:pStyle w:val="13"/>
              <w:keepNext w:val="0"/>
              <w:keepLines w:val="0"/>
              <w:pageBreakBefore w:val="0"/>
              <w:widowControl w:val="0"/>
              <w:numPr>
                <w:ilvl w:val="0"/>
                <w:numId w:val="1"/>
              </w:numPr>
              <w:kinsoku/>
              <w:wordWrap/>
              <w:overflowPunct/>
              <w:topLinePunct w:val="0"/>
              <w:autoSpaceDE/>
              <w:autoSpaceDN/>
              <w:bidi w:val="0"/>
              <w:adjustRightInd/>
              <w:snapToGrid/>
              <w:spacing w:line="288" w:lineRule="auto"/>
              <w:ind w:left="448" w:hanging="448" w:firstLineChars="0"/>
              <w:textAlignment w:val="auto"/>
              <w:rPr>
                <w:rFonts w:ascii="Times New Roman" w:hAnsi="Times New Roman" w:cs="Times New Roman"/>
                <w:sz w:val="22"/>
                <w:szCs w:val="22"/>
              </w:rPr>
            </w:pPr>
            <w:r>
              <w:rPr>
                <w:rFonts w:ascii="Times New Roman" w:hAnsi="Times New Roman" w:cs="Times New Roman"/>
                <w:sz w:val="22"/>
                <w:szCs w:val="22"/>
              </w:rPr>
              <w:t xml:space="preserve">07/2013-03/2016 Post-doctoral Research Fellow/ Lecturer, School of public health, Huazhong University of Science &amp; Technology, Wuhan, China </w:t>
            </w:r>
          </w:p>
          <w:p w14:paraId="2F7A0D99">
            <w:pPr>
              <w:pStyle w:val="13"/>
              <w:keepNext w:val="0"/>
              <w:keepLines w:val="0"/>
              <w:pageBreakBefore w:val="0"/>
              <w:widowControl w:val="0"/>
              <w:numPr>
                <w:ilvl w:val="0"/>
                <w:numId w:val="1"/>
              </w:numPr>
              <w:kinsoku/>
              <w:wordWrap/>
              <w:overflowPunct/>
              <w:topLinePunct w:val="0"/>
              <w:autoSpaceDE/>
              <w:autoSpaceDN/>
              <w:bidi w:val="0"/>
              <w:adjustRightInd/>
              <w:snapToGrid/>
              <w:spacing w:line="288" w:lineRule="auto"/>
              <w:ind w:left="448" w:hanging="448" w:firstLineChars="0"/>
              <w:textAlignment w:val="auto"/>
              <w:rPr>
                <w:rFonts w:ascii="Times New Roman" w:hAnsi="Times New Roman" w:cs="Times New Roman"/>
                <w:sz w:val="22"/>
                <w:szCs w:val="22"/>
              </w:rPr>
            </w:pPr>
            <w:r>
              <w:rPr>
                <w:rFonts w:ascii="Times New Roman" w:hAnsi="Times New Roman" w:cs="Times New Roman"/>
                <w:sz w:val="22"/>
                <w:szCs w:val="22"/>
              </w:rPr>
              <w:t xml:space="preserve">09/2008-06/2013 Ph.D. in Bioinformatics, Huazhong University of Science &amp; Technology, Wuhan, China </w:t>
            </w:r>
          </w:p>
          <w:p w14:paraId="1451AC97">
            <w:pPr>
              <w:pStyle w:val="13"/>
              <w:keepNext w:val="0"/>
              <w:keepLines w:val="0"/>
              <w:pageBreakBefore w:val="0"/>
              <w:widowControl w:val="0"/>
              <w:numPr>
                <w:ilvl w:val="0"/>
                <w:numId w:val="1"/>
              </w:numPr>
              <w:kinsoku/>
              <w:wordWrap/>
              <w:overflowPunct/>
              <w:topLinePunct w:val="0"/>
              <w:autoSpaceDE/>
              <w:autoSpaceDN/>
              <w:bidi w:val="0"/>
              <w:adjustRightInd/>
              <w:snapToGrid/>
              <w:spacing w:line="288" w:lineRule="auto"/>
              <w:ind w:left="448" w:hanging="448" w:firstLineChars="0"/>
              <w:textAlignment w:val="auto"/>
              <w:rPr>
                <w:rFonts w:hint="eastAsia"/>
                <w:sz w:val="24"/>
              </w:rPr>
            </w:pPr>
            <w:r>
              <w:rPr>
                <w:rFonts w:ascii="Times New Roman" w:hAnsi="Times New Roman" w:cs="Times New Roman"/>
                <w:sz w:val="22"/>
                <w:szCs w:val="22"/>
              </w:rPr>
              <w:t>09/2003-06/2008 Bachelor of medicine in Public Health, Huazhong University of Science &amp; Technology, Wuhan, China</w:t>
            </w:r>
          </w:p>
        </w:tc>
      </w:tr>
      <w:tr w14:paraId="6F2C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476" w:type="dxa"/>
            <w:gridSpan w:val="6"/>
            <w:shd w:val="clear" w:color="auto" w:fill="00B050"/>
            <w:vAlign w:val="center"/>
          </w:tcPr>
          <w:p w14:paraId="3A6C35AD">
            <w:pPr>
              <w:rPr>
                <w:b/>
                <w:sz w:val="24"/>
              </w:rPr>
            </w:pPr>
            <w:r>
              <w:rPr>
                <w:rFonts w:hint="eastAsia"/>
                <w:b/>
                <w:sz w:val="24"/>
              </w:rPr>
              <w:t>Publications</w:t>
            </w:r>
          </w:p>
        </w:tc>
      </w:tr>
      <w:tr w14:paraId="230C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9476" w:type="dxa"/>
            <w:gridSpan w:val="6"/>
            <w:vAlign w:val="center"/>
          </w:tcPr>
          <w:p w14:paraId="023B3D13">
            <w:pPr>
              <w:pStyle w:val="13"/>
              <w:numPr>
                <w:ilvl w:val="0"/>
                <w:numId w:val="0"/>
              </w:numPr>
              <w:ind w:leftChars="0"/>
              <w:rPr>
                <w:rFonts w:ascii="Times New Roman" w:hAnsi="Times New Roman" w:cs="Times New Roman"/>
                <w:sz w:val="21"/>
                <w:szCs w:val="21"/>
              </w:rPr>
            </w:pPr>
          </w:p>
          <w:p w14:paraId="38219ACA">
            <w:pPr>
              <w:pStyle w:val="13"/>
              <w:numPr>
                <w:ilvl w:val="0"/>
                <w:numId w:val="0"/>
              </w:numPr>
              <w:ind w:leftChars="0"/>
              <w:jc w:val="left"/>
              <w:rPr>
                <w:rFonts w:hint="default" w:ascii="Times New Roman" w:hAnsi="Times New Roman" w:eastAsia="Segoe UI" w:cs="Times New Roman"/>
                <w:i w:val="0"/>
                <w:iCs w:val="0"/>
                <w:caps w:val="0"/>
                <w:spacing w:val="0"/>
                <w:sz w:val="24"/>
                <w:szCs w:val="24"/>
                <w:u w:val="single"/>
                <w:shd w:val="clear" w:fill="FFFFFF"/>
                <w:vertAlign w:val="baseline"/>
              </w:rPr>
            </w:pPr>
            <w:r>
              <w:rPr>
                <w:rFonts w:hint="default" w:ascii="Times New Roman" w:hAnsi="Times New Roman" w:eastAsia="Segoe UI" w:cs="Times New Roman"/>
                <w:b w:val="0"/>
                <w:bCs w:val="0"/>
                <w:i w:val="0"/>
                <w:iCs w:val="0"/>
                <w:caps w:val="0"/>
                <w:spacing w:val="0"/>
                <w:sz w:val="24"/>
                <w:szCs w:val="24"/>
                <w:shd w:val="clear" w:fill="FFFFFF"/>
              </w:rPr>
              <w:t>Below are 10 representative publications; for more</w:t>
            </w:r>
            <w:r>
              <w:rPr>
                <w:rFonts w:hint="eastAsia" w:cs="Times New Roman"/>
                <w:b w:val="0"/>
                <w:bCs w:val="0"/>
                <w:i w:val="0"/>
                <w:iCs w:val="0"/>
                <w:caps w:val="0"/>
                <w:spacing w:val="0"/>
                <w:sz w:val="24"/>
                <w:szCs w:val="24"/>
                <w:shd w:val="clear" w:fill="FFFFFF"/>
                <w:lang w:val="en-US" w:eastAsia="zh-CN"/>
              </w:rPr>
              <w:t xml:space="preserve"> details</w:t>
            </w:r>
            <w:r>
              <w:rPr>
                <w:rFonts w:hint="default" w:ascii="Times New Roman" w:hAnsi="Times New Roman" w:eastAsia="Segoe UI" w:cs="Times New Roman"/>
                <w:b w:val="0"/>
                <w:bCs w:val="0"/>
                <w:i w:val="0"/>
                <w:iCs w:val="0"/>
                <w:caps w:val="0"/>
                <w:spacing w:val="0"/>
                <w:sz w:val="24"/>
                <w:szCs w:val="24"/>
                <w:shd w:val="clear" w:fill="FFFFFF"/>
              </w:rPr>
              <w:t>, please visit</w:t>
            </w:r>
            <w:r>
              <w:rPr>
                <w:rFonts w:hint="default" w:ascii="Times New Roman" w:hAnsi="Times New Roman" w:eastAsia="Segoe UI" w:cs="Times New Roman"/>
                <w:i w:val="0"/>
                <w:iCs w:val="0"/>
                <w:caps w:val="0"/>
                <w:spacing w:val="0"/>
                <w:sz w:val="24"/>
                <w:szCs w:val="24"/>
                <w:shd w:val="clear" w:fill="FFFFFF"/>
              </w:rPr>
              <w:t xml:space="preserve"> </w:t>
            </w:r>
            <w:r>
              <w:rPr>
                <w:rFonts w:hint="default" w:ascii="Times New Roman" w:hAnsi="Times New Roman" w:eastAsia="Segoe UI" w:cs="Times New Roman"/>
                <w:i w:val="0"/>
                <w:iCs w:val="0"/>
                <w:caps w:val="0"/>
                <w:spacing w:val="0"/>
                <w:sz w:val="24"/>
                <w:szCs w:val="24"/>
                <w:u w:val="single"/>
                <w:shd w:val="clear" w:fill="FFFFFF"/>
                <w:vertAlign w:val="baseline"/>
              </w:rPr>
              <w:fldChar w:fldCharType="begin"/>
            </w:r>
            <w:r>
              <w:rPr>
                <w:rFonts w:hint="default" w:ascii="Times New Roman" w:hAnsi="Times New Roman" w:eastAsia="Segoe UI" w:cs="Times New Roman"/>
                <w:i w:val="0"/>
                <w:iCs w:val="0"/>
                <w:caps w:val="0"/>
                <w:spacing w:val="0"/>
                <w:sz w:val="24"/>
                <w:szCs w:val="24"/>
                <w:u w:val="single"/>
                <w:shd w:val="clear" w:fill="FFFFFF"/>
                <w:vertAlign w:val="baseline"/>
              </w:rPr>
              <w:instrText xml:space="preserve"> HYPERLINK "https://gonglab.hzau.edu.cn/" \l "!/publication" \t "https://www.kimi.com/chat/_blank" </w:instrText>
            </w:r>
            <w:r>
              <w:rPr>
                <w:rFonts w:hint="default" w:ascii="Times New Roman" w:hAnsi="Times New Roman" w:eastAsia="Segoe UI" w:cs="Times New Roman"/>
                <w:i w:val="0"/>
                <w:iCs w:val="0"/>
                <w:caps w:val="0"/>
                <w:spacing w:val="0"/>
                <w:sz w:val="24"/>
                <w:szCs w:val="24"/>
                <w:u w:val="single"/>
                <w:shd w:val="clear" w:fill="FFFFFF"/>
                <w:vertAlign w:val="baseline"/>
              </w:rPr>
              <w:fldChar w:fldCharType="separate"/>
            </w:r>
            <w:r>
              <w:rPr>
                <w:rStyle w:val="9"/>
                <w:rFonts w:hint="default" w:ascii="Times New Roman" w:hAnsi="Times New Roman" w:eastAsia="Segoe UI" w:cs="Times New Roman"/>
                <w:i w:val="0"/>
                <w:iCs w:val="0"/>
                <w:caps w:val="0"/>
                <w:spacing w:val="0"/>
                <w:sz w:val="24"/>
                <w:szCs w:val="24"/>
                <w:u w:val="single"/>
                <w:shd w:val="clear" w:fill="FFFFFF"/>
                <w:vertAlign w:val="baseline"/>
              </w:rPr>
              <w:t>https://gonglab.hzau.edu.cn/#!/publication</w:t>
            </w:r>
            <w:r>
              <w:rPr>
                <w:rFonts w:hint="default" w:ascii="Times New Roman" w:hAnsi="Times New Roman" w:eastAsia="Segoe UI" w:cs="Times New Roman"/>
                <w:i w:val="0"/>
                <w:iCs w:val="0"/>
                <w:caps w:val="0"/>
                <w:spacing w:val="0"/>
                <w:sz w:val="24"/>
                <w:szCs w:val="24"/>
                <w:u w:val="single"/>
                <w:shd w:val="clear" w:fill="FFFFFF"/>
                <w:vertAlign w:val="baseline"/>
              </w:rPr>
              <w:fldChar w:fldCharType="end"/>
            </w:r>
          </w:p>
          <w:p w14:paraId="053751B6">
            <w:pPr>
              <w:pStyle w:val="13"/>
              <w:numPr>
                <w:ilvl w:val="0"/>
                <w:numId w:val="0"/>
              </w:numPr>
              <w:ind w:leftChars="0"/>
              <w:rPr>
                <w:rFonts w:hint="default" w:ascii="Times New Roman" w:hAnsi="Times New Roman" w:eastAsia="Segoe UI" w:cs="Times New Roman"/>
                <w:i w:val="0"/>
                <w:iCs w:val="0"/>
                <w:caps w:val="0"/>
                <w:spacing w:val="0"/>
                <w:sz w:val="24"/>
                <w:szCs w:val="24"/>
                <w:u w:val="single"/>
                <w:shd w:val="clear" w:fill="FFFFFF"/>
                <w:vertAlign w:val="baseline"/>
                <w:lang w:val="en-US" w:eastAsia="zh-CN"/>
              </w:rPr>
            </w:pPr>
          </w:p>
          <w:p w14:paraId="70EAF2B2">
            <w:pPr>
              <w:pStyle w:val="13"/>
              <w:keepNext w:val="0"/>
              <w:keepLines w:val="0"/>
              <w:pageBreakBefore w:val="0"/>
              <w:widowControl w:val="0"/>
              <w:numPr>
                <w:ilvl w:val="0"/>
                <w:numId w:val="2"/>
              </w:numPr>
              <w:kinsoku/>
              <w:wordWrap/>
              <w:overflowPunct/>
              <w:topLinePunct w:val="0"/>
              <w:autoSpaceDE/>
              <w:autoSpaceDN/>
              <w:bidi w:val="0"/>
              <w:adjustRightInd/>
              <w:snapToGrid/>
              <w:spacing w:line="288" w:lineRule="auto"/>
              <w:ind w:left="420" w:hanging="420" w:firstLineChars="0"/>
              <w:textAlignment w:val="auto"/>
              <w:rPr>
                <w:rFonts w:ascii="Times New Roman" w:hAnsi="Times New Roman" w:cs="Times New Roman"/>
                <w:sz w:val="21"/>
                <w:szCs w:val="21"/>
              </w:rPr>
            </w:pPr>
            <w:r>
              <w:rPr>
                <w:rFonts w:ascii="Times New Roman" w:hAnsi="Times New Roman" w:cs="Times New Roman"/>
                <w:sz w:val="21"/>
                <w:szCs w:val="21"/>
              </w:rPr>
              <w:t>Wen Cao, Jiaxin He, Jing Feng, Xiaohong Wu, Tian Wu, Dongyang Wang, Congcong Min, Xiaohui Niu,Zexia Gao*,An-Yuan Guo*,</w:t>
            </w:r>
            <w:r>
              <w:rPr>
                <w:rFonts w:hint="default" w:ascii="Times New Roman" w:hAnsi="Times New Roman" w:cs="Times New Roman"/>
                <w:sz w:val="21"/>
                <w:szCs w:val="21"/>
              </w:rPr>
              <w:t> </w:t>
            </w:r>
            <w:r>
              <w:rPr>
                <w:rFonts w:hint="default" w:ascii="Times New Roman" w:hAnsi="Times New Roman" w:cs="Times New Roman"/>
                <w:b/>
                <w:bCs/>
                <w:sz w:val="21"/>
                <w:szCs w:val="21"/>
              </w:rPr>
              <w:t>Jing Gong</w:t>
            </w:r>
            <w:r>
              <w:rPr>
                <w:rFonts w:hint="default" w:ascii="Times New Roman" w:hAnsi="Times New Roman" w:cs="Times New Roman"/>
                <w:sz w:val="21"/>
                <w:szCs w:val="21"/>
              </w:rPr>
              <w:t>*. (2025) miRNASNP-v4: a comprehensive database for miRNA-related SNPs across 17 species, </w:t>
            </w:r>
            <w:r>
              <w:rPr>
                <w:rFonts w:hint="default" w:ascii="Times New Roman" w:hAnsi="Times New Roman" w:cs="Times New Roman"/>
                <w:b/>
                <w:bCs/>
                <w:sz w:val="21"/>
                <w:szCs w:val="21"/>
              </w:rPr>
              <w:t>Nucleic Acids Research</w:t>
            </w:r>
            <w:r>
              <w:rPr>
                <w:rFonts w:hint="default" w:ascii="Times New Roman" w:hAnsi="Times New Roman" w:cs="Times New Roman"/>
                <w:sz w:val="21"/>
                <w:szCs w:val="21"/>
              </w:rPr>
              <w:t>, gkae888.</w:t>
            </w:r>
          </w:p>
          <w:p w14:paraId="0D3089D0">
            <w:pPr>
              <w:pStyle w:val="13"/>
              <w:keepNext w:val="0"/>
              <w:keepLines w:val="0"/>
              <w:pageBreakBefore w:val="0"/>
              <w:widowControl w:val="0"/>
              <w:numPr>
                <w:ilvl w:val="0"/>
                <w:numId w:val="2"/>
              </w:numPr>
              <w:kinsoku/>
              <w:wordWrap/>
              <w:overflowPunct/>
              <w:topLinePunct w:val="0"/>
              <w:autoSpaceDE/>
              <w:autoSpaceDN/>
              <w:bidi w:val="0"/>
              <w:adjustRightInd/>
              <w:snapToGrid/>
              <w:spacing w:line="288" w:lineRule="auto"/>
              <w:ind w:left="420" w:hanging="42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Wen Zhang, Xiaohong Wu,</w:t>
            </w:r>
            <w:r>
              <w:rPr>
                <w:rFonts w:hint="eastAsia" w:cs="Times New Roman"/>
                <w:sz w:val="21"/>
                <w:szCs w:val="21"/>
                <w:lang w:val="en-US" w:eastAsia="zh-CN"/>
              </w:rPr>
              <w:t xml:space="preserve"> </w:t>
            </w:r>
            <w:r>
              <w:rPr>
                <w:rFonts w:hint="default" w:ascii="Times New Roman" w:hAnsi="Times New Roman" w:cs="Times New Roman"/>
                <w:b/>
                <w:bCs/>
                <w:sz w:val="21"/>
                <w:szCs w:val="21"/>
              </w:rPr>
              <w:t>Jing Gong</w:t>
            </w:r>
            <w:r>
              <w:rPr>
                <w:rFonts w:hint="default" w:ascii="Times New Roman" w:hAnsi="Times New Roman" w:cs="Times New Roman"/>
                <w:sz w:val="21"/>
                <w:szCs w:val="21"/>
              </w:rPr>
              <w:t>*. (2025) Overcoming collaboration barriers in quantitative trait loci analysis, </w:t>
            </w:r>
            <w:r>
              <w:rPr>
                <w:rFonts w:hint="default" w:ascii="Times New Roman" w:hAnsi="Times New Roman" w:cs="Times New Roman"/>
                <w:b/>
                <w:bCs/>
                <w:sz w:val="21"/>
                <w:szCs w:val="21"/>
              </w:rPr>
              <w:t>Cell Genomic</w:t>
            </w:r>
            <w:r>
              <w:rPr>
                <w:rFonts w:hint="default" w:ascii="Times New Roman" w:hAnsi="Times New Roman" w:cs="Times New Roman"/>
                <w:sz w:val="21"/>
                <w:szCs w:val="21"/>
              </w:rPr>
              <w:t>s, 5(2):100773.</w:t>
            </w:r>
          </w:p>
          <w:p w14:paraId="545B7904">
            <w:pPr>
              <w:pStyle w:val="13"/>
              <w:keepNext w:val="0"/>
              <w:keepLines w:val="0"/>
              <w:pageBreakBefore w:val="0"/>
              <w:widowControl w:val="0"/>
              <w:numPr>
                <w:ilvl w:val="0"/>
                <w:numId w:val="2"/>
              </w:numPr>
              <w:kinsoku/>
              <w:wordWrap/>
              <w:overflowPunct/>
              <w:topLinePunct w:val="0"/>
              <w:autoSpaceDE/>
              <w:autoSpaceDN/>
              <w:bidi w:val="0"/>
              <w:adjustRightInd/>
              <w:snapToGrid/>
              <w:spacing w:line="288" w:lineRule="auto"/>
              <w:ind w:left="420" w:hanging="42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Jianye Yang, Haitao Fu, Feiyang Xue, Menglu Li, Yuyang Wu, Zhanhui Yu, Haohui Luo,</w:t>
            </w:r>
            <w:r>
              <w:rPr>
                <w:rFonts w:hint="default" w:ascii="Times New Roman" w:hAnsi="Times New Roman" w:cs="Times New Roman"/>
                <w:b/>
                <w:bCs/>
                <w:sz w:val="21"/>
                <w:szCs w:val="21"/>
              </w:rPr>
              <w:t> Jing Gong</w:t>
            </w:r>
            <w:r>
              <w:rPr>
                <w:rFonts w:hint="default" w:ascii="Times New Roman" w:hAnsi="Times New Roman" w:cs="Times New Roman"/>
                <w:sz w:val="21"/>
                <w:szCs w:val="21"/>
              </w:rPr>
              <w:t>*, Xiaohui Niu*, Wen Zhang*. (2024) Multiview representation learning for identification of novel cancer genes and their causative biological mechanisms, </w:t>
            </w:r>
            <w:r>
              <w:rPr>
                <w:rFonts w:hint="default" w:ascii="Times New Roman" w:hAnsi="Times New Roman" w:cs="Times New Roman"/>
                <w:b/>
                <w:bCs/>
                <w:sz w:val="21"/>
                <w:szCs w:val="21"/>
              </w:rPr>
              <w:t>Briefings in Bioinformatics</w:t>
            </w:r>
            <w:r>
              <w:rPr>
                <w:rFonts w:hint="default" w:ascii="Times New Roman" w:hAnsi="Times New Roman" w:cs="Times New Roman"/>
                <w:sz w:val="21"/>
                <w:szCs w:val="21"/>
              </w:rPr>
              <w:t>, 25(5):bbae418.</w:t>
            </w:r>
          </w:p>
          <w:p w14:paraId="4341FE96">
            <w:pPr>
              <w:pStyle w:val="13"/>
              <w:keepNext w:val="0"/>
              <w:keepLines w:val="0"/>
              <w:pageBreakBefore w:val="0"/>
              <w:widowControl w:val="0"/>
              <w:numPr>
                <w:ilvl w:val="0"/>
                <w:numId w:val="2"/>
              </w:numPr>
              <w:kinsoku/>
              <w:wordWrap/>
              <w:overflowPunct/>
              <w:topLinePunct w:val="0"/>
              <w:autoSpaceDE/>
              <w:autoSpaceDN/>
              <w:bidi w:val="0"/>
              <w:adjustRightInd/>
              <w:snapToGrid/>
              <w:spacing w:line="288" w:lineRule="auto"/>
              <w:ind w:left="420" w:hanging="42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Wen Cao, Yang Chen, Jianye Yang, Feiyang Xue, Zhanhui Yu, Jing Feng, Zejun Wu, </w:t>
            </w:r>
            <w:r>
              <w:rPr>
                <w:rFonts w:hint="default" w:ascii="Times New Roman" w:hAnsi="Times New Roman" w:cs="Times New Roman"/>
                <w:b/>
                <w:bCs/>
                <w:sz w:val="21"/>
                <w:szCs w:val="21"/>
              </w:rPr>
              <w:t>Jing Gong</w:t>
            </w:r>
            <w:r>
              <w:rPr>
                <w:rFonts w:hint="default" w:ascii="Times New Roman" w:hAnsi="Times New Roman" w:cs="Times New Roman"/>
                <w:sz w:val="21"/>
                <w:szCs w:val="21"/>
              </w:rPr>
              <w:t>*, Xiaohui Niu*. (2023) Metapath-aggregated multilevel graph embedding for miRNA-disease association prediction,</w:t>
            </w:r>
            <w:r>
              <w:rPr>
                <w:rFonts w:hint="default" w:ascii="Times New Roman" w:hAnsi="Times New Roman" w:cs="Times New Roman"/>
                <w:b/>
                <w:bCs/>
                <w:sz w:val="21"/>
                <w:szCs w:val="21"/>
              </w:rPr>
              <w:t> IEEE International Conference on Bioinformatics and Biomedicine (BIBM)</w:t>
            </w:r>
            <w:r>
              <w:rPr>
                <w:rFonts w:hint="default" w:ascii="Times New Roman" w:hAnsi="Times New Roman" w:cs="Times New Roman"/>
                <w:sz w:val="21"/>
                <w:szCs w:val="21"/>
              </w:rPr>
              <w:t>, December 5-8, 2023. </w:t>
            </w:r>
          </w:p>
          <w:p w14:paraId="78DB90F3">
            <w:pPr>
              <w:pStyle w:val="13"/>
              <w:keepNext w:val="0"/>
              <w:keepLines w:val="0"/>
              <w:pageBreakBefore w:val="0"/>
              <w:widowControl w:val="0"/>
              <w:numPr>
                <w:ilvl w:val="0"/>
                <w:numId w:val="2"/>
              </w:numPr>
              <w:kinsoku/>
              <w:wordWrap/>
              <w:overflowPunct/>
              <w:topLinePunct w:val="0"/>
              <w:autoSpaceDE/>
              <w:autoSpaceDN/>
              <w:bidi w:val="0"/>
              <w:adjustRightInd/>
              <w:snapToGrid/>
              <w:spacing w:line="288" w:lineRule="auto"/>
              <w:ind w:left="420" w:hanging="420" w:firstLineChars="0"/>
              <w:textAlignment w:val="auto"/>
              <w:rPr>
                <w:rFonts w:ascii="Times New Roman" w:hAnsi="Times New Roman" w:cs="Times New Roman"/>
                <w:sz w:val="21"/>
                <w:szCs w:val="21"/>
              </w:rPr>
            </w:pPr>
            <w:r>
              <w:rPr>
                <w:rFonts w:ascii="Times New Roman" w:hAnsi="Times New Roman" w:cs="Times New Roman"/>
                <w:sz w:val="21"/>
                <w:szCs w:val="21"/>
              </w:rPr>
              <w:t xml:space="preserve">Yanbo Yang, Dongyang Wang, Ya-Ru Miao, Xiaohong Wu, Haohui Luo, Wen Cao, Wenqian Yang, Jianye Yang, An-Yuan Guo, </w:t>
            </w:r>
            <w:r>
              <w:rPr>
                <w:rFonts w:ascii="Times New Roman" w:hAnsi="Times New Roman" w:cs="Times New Roman"/>
                <w:b/>
                <w:bCs/>
                <w:sz w:val="21"/>
                <w:szCs w:val="21"/>
              </w:rPr>
              <w:t>Jing Gong</w:t>
            </w:r>
            <w:r>
              <w:rPr>
                <w:rFonts w:ascii="Times New Roman" w:hAnsi="Times New Roman" w:cs="Times New Roman"/>
                <w:sz w:val="21"/>
                <w:szCs w:val="21"/>
              </w:rPr>
              <w:t>, lncRNASNP v3: an updated database for functional variants in long non-coding RNAs,</w:t>
            </w:r>
            <w:r>
              <w:rPr>
                <w:rFonts w:ascii="Times New Roman" w:hAnsi="Times New Roman" w:cs="Times New Roman"/>
                <w:b/>
                <w:bCs/>
                <w:sz w:val="21"/>
                <w:szCs w:val="21"/>
              </w:rPr>
              <w:t xml:space="preserve"> Nucleic acids research</w:t>
            </w:r>
            <w:r>
              <w:rPr>
                <w:rFonts w:ascii="Times New Roman" w:hAnsi="Times New Roman" w:cs="Times New Roman"/>
                <w:sz w:val="21"/>
                <w:szCs w:val="21"/>
              </w:rPr>
              <w:t>, (2023) 51(D1), D192-D198.</w:t>
            </w:r>
          </w:p>
          <w:p w14:paraId="1A54B696">
            <w:pPr>
              <w:pStyle w:val="13"/>
              <w:keepNext w:val="0"/>
              <w:keepLines w:val="0"/>
              <w:pageBreakBefore w:val="0"/>
              <w:widowControl w:val="0"/>
              <w:numPr>
                <w:ilvl w:val="0"/>
                <w:numId w:val="2"/>
              </w:numPr>
              <w:kinsoku/>
              <w:wordWrap/>
              <w:overflowPunct/>
              <w:topLinePunct w:val="0"/>
              <w:autoSpaceDE/>
              <w:autoSpaceDN/>
              <w:bidi w:val="0"/>
              <w:adjustRightInd/>
              <w:snapToGrid/>
              <w:spacing w:line="288" w:lineRule="auto"/>
              <w:ind w:left="420" w:hanging="420" w:firstLineChars="0"/>
              <w:textAlignment w:val="auto"/>
              <w:rPr>
                <w:rFonts w:ascii="Times New Roman" w:hAnsi="Times New Roman" w:cs="Times New Roman"/>
                <w:sz w:val="21"/>
                <w:szCs w:val="21"/>
              </w:rPr>
            </w:pPr>
            <w:r>
              <w:rPr>
                <w:rFonts w:ascii="Times New Roman" w:hAnsi="Times New Roman" w:cs="Times New Roman"/>
                <w:sz w:val="21"/>
                <w:szCs w:val="21"/>
              </w:rPr>
              <w:t xml:space="preserve">Jiang Li, Yawen Xue, Muhammad Talal Amin, Yanbo Yang, Jiajun Yang, Wen Zhang, Wenqian Yang, Xiaohui Niu, Hong-Yu Zhang, and </w:t>
            </w:r>
            <w:r>
              <w:rPr>
                <w:rFonts w:ascii="Times New Roman" w:hAnsi="Times New Roman" w:cs="Times New Roman"/>
                <w:b/>
                <w:bCs/>
                <w:sz w:val="21"/>
                <w:szCs w:val="21"/>
              </w:rPr>
              <w:t>Jing Gong</w:t>
            </w:r>
            <w:r>
              <w:rPr>
                <w:rFonts w:ascii="Times New Roman" w:hAnsi="Times New Roman" w:cs="Times New Roman"/>
                <w:sz w:val="21"/>
                <w:szCs w:val="21"/>
              </w:rPr>
              <w:t xml:space="preserve">. ncRNA-eQTL: a database to systematically evaluate the effects of SNPs on non-coding RNA expression across cancer types. </w:t>
            </w:r>
            <w:r>
              <w:rPr>
                <w:rFonts w:ascii="Times New Roman" w:hAnsi="Times New Roman" w:cs="Times New Roman"/>
                <w:b/>
                <w:bCs/>
                <w:sz w:val="21"/>
                <w:szCs w:val="21"/>
              </w:rPr>
              <w:t>Nucleic acids research</w:t>
            </w:r>
            <w:r>
              <w:rPr>
                <w:rFonts w:ascii="Times New Roman" w:hAnsi="Times New Roman" w:cs="Times New Roman"/>
                <w:sz w:val="21"/>
                <w:szCs w:val="21"/>
              </w:rPr>
              <w:t>. (2020) 48, D956-D963.</w:t>
            </w:r>
          </w:p>
          <w:p w14:paraId="3EED5928">
            <w:pPr>
              <w:pStyle w:val="13"/>
              <w:keepNext w:val="0"/>
              <w:keepLines w:val="0"/>
              <w:pageBreakBefore w:val="0"/>
              <w:widowControl w:val="0"/>
              <w:numPr>
                <w:ilvl w:val="0"/>
                <w:numId w:val="2"/>
              </w:numPr>
              <w:kinsoku/>
              <w:wordWrap/>
              <w:overflowPunct/>
              <w:topLinePunct w:val="0"/>
              <w:autoSpaceDE/>
              <w:autoSpaceDN/>
              <w:bidi w:val="0"/>
              <w:adjustRightInd/>
              <w:snapToGrid/>
              <w:spacing w:line="288" w:lineRule="auto"/>
              <w:ind w:left="420" w:hanging="420" w:firstLineChars="0"/>
              <w:textAlignment w:val="auto"/>
              <w:rPr>
                <w:rFonts w:ascii="Times New Roman" w:hAnsi="Times New Roman" w:cs="Times New Roman"/>
                <w:sz w:val="21"/>
                <w:szCs w:val="21"/>
              </w:rPr>
            </w:pPr>
            <w:r>
              <w:rPr>
                <w:rFonts w:ascii="Times New Roman" w:hAnsi="Times New Roman" w:cs="Times New Roman"/>
                <w:sz w:val="21"/>
                <w:szCs w:val="21"/>
              </w:rPr>
              <w:t xml:space="preserve">Jiajun Yang, Dongyang Wang, Yanbo Yang, Wenqian Yang, Weiwei Jin, Xiaohui Niu, </w:t>
            </w:r>
            <w:r>
              <w:rPr>
                <w:rFonts w:ascii="Times New Roman" w:hAnsi="Times New Roman" w:cs="Times New Roman"/>
                <w:b/>
                <w:bCs/>
                <w:sz w:val="21"/>
                <w:szCs w:val="21"/>
              </w:rPr>
              <w:t>Jing Gong</w:t>
            </w:r>
            <w:r>
              <w:rPr>
                <w:rFonts w:ascii="Times New Roman" w:hAnsi="Times New Roman" w:cs="Times New Roman"/>
                <w:sz w:val="21"/>
                <w:szCs w:val="21"/>
              </w:rPr>
              <w:t xml:space="preserve">, A systematic comparison of normalization methods for eQTL analysis, </w:t>
            </w:r>
            <w:r>
              <w:rPr>
                <w:rFonts w:ascii="Times New Roman" w:hAnsi="Times New Roman" w:cs="Times New Roman"/>
                <w:b/>
                <w:bCs/>
                <w:sz w:val="21"/>
                <w:szCs w:val="21"/>
              </w:rPr>
              <w:t>Briefings in Bioinformatics</w:t>
            </w:r>
            <w:r>
              <w:rPr>
                <w:rFonts w:ascii="Times New Roman" w:hAnsi="Times New Roman" w:cs="Times New Roman"/>
                <w:sz w:val="21"/>
                <w:szCs w:val="21"/>
              </w:rPr>
              <w:t>, (2021)2, 1–13.</w:t>
            </w:r>
          </w:p>
          <w:p w14:paraId="43B36935">
            <w:pPr>
              <w:pStyle w:val="13"/>
              <w:keepNext w:val="0"/>
              <w:keepLines w:val="0"/>
              <w:pageBreakBefore w:val="0"/>
              <w:widowControl w:val="0"/>
              <w:numPr>
                <w:ilvl w:val="0"/>
                <w:numId w:val="2"/>
              </w:numPr>
              <w:kinsoku/>
              <w:wordWrap/>
              <w:overflowPunct/>
              <w:topLinePunct w:val="0"/>
              <w:autoSpaceDE/>
              <w:autoSpaceDN/>
              <w:bidi w:val="0"/>
              <w:adjustRightInd/>
              <w:snapToGrid/>
              <w:spacing w:line="288" w:lineRule="auto"/>
              <w:ind w:left="420" w:hanging="420" w:firstLineChars="0"/>
              <w:textAlignment w:val="auto"/>
              <w:rPr>
                <w:rFonts w:ascii="Times New Roman" w:hAnsi="Times New Roman" w:cs="Times New Roman"/>
                <w:sz w:val="21"/>
                <w:szCs w:val="21"/>
              </w:rPr>
            </w:pPr>
            <w:r>
              <w:rPr>
                <w:rFonts w:ascii="Times New Roman" w:hAnsi="Times New Roman" w:cs="Times New Roman"/>
                <w:sz w:val="21"/>
                <w:szCs w:val="21"/>
              </w:rPr>
              <w:t xml:space="preserve">Yanbo Yang, Xiaohong Wu, Wenqian Yang, Weiwei Jin, Dongyang Wang, Jianye Yang, Guanghui Jiang, Wen Zhang, Xiaohui Niu, </w:t>
            </w:r>
            <w:r>
              <w:rPr>
                <w:rFonts w:ascii="Times New Roman" w:hAnsi="Times New Roman" w:cs="Times New Roman"/>
                <w:b/>
                <w:bCs/>
                <w:sz w:val="21"/>
                <w:szCs w:val="21"/>
              </w:rPr>
              <w:t>Jing Gong</w:t>
            </w:r>
            <w:r>
              <w:rPr>
                <w:rFonts w:ascii="Times New Roman" w:hAnsi="Times New Roman" w:cs="Times New Roman"/>
                <w:sz w:val="21"/>
                <w:szCs w:val="21"/>
              </w:rPr>
              <w:t>, Dynamic alternative polyadenylation during iPSC differentiation into cardiomyocytes,</w:t>
            </w:r>
            <w:r>
              <w:rPr>
                <w:rFonts w:ascii="Times New Roman" w:hAnsi="Times New Roman" w:cs="Times New Roman"/>
                <w:b/>
                <w:bCs/>
                <w:sz w:val="21"/>
                <w:szCs w:val="21"/>
              </w:rPr>
              <w:t xml:space="preserve"> Computational and Structural Biotechnology Journal,</w:t>
            </w:r>
            <w:r>
              <w:rPr>
                <w:rFonts w:ascii="Times New Roman" w:hAnsi="Times New Roman" w:cs="Times New Roman"/>
                <w:sz w:val="21"/>
                <w:szCs w:val="21"/>
              </w:rPr>
              <w:t xml:space="preserve"> (2022) 20: 5859-5869.</w:t>
            </w:r>
          </w:p>
          <w:p w14:paraId="09434957">
            <w:pPr>
              <w:pStyle w:val="13"/>
              <w:keepNext w:val="0"/>
              <w:keepLines w:val="0"/>
              <w:pageBreakBefore w:val="0"/>
              <w:widowControl w:val="0"/>
              <w:numPr>
                <w:ilvl w:val="0"/>
                <w:numId w:val="2"/>
              </w:numPr>
              <w:kinsoku/>
              <w:wordWrap/>
              <w:overflowPunct/>
              <w:topLinePunct w:val="0"/>
              <w:autoSpaceDE/>
              <w:autoSpaceDN/>
              <w:bidi w:val="0"/>
              <w:adjustRightInd/>
              <w:snapToGrid/>
              <w:spacing w:line="288" w:lineRule="auto"/>
              <w:ind w:left="420" w:hanging="420" w:firstLineChars="0"/>
              <w:textAlignment w:val="auto"/>
              <w:rPr>
                <w:rFonts w:ascii="Times New Roman" w:hAnsi="Times New Roman" w:cs="Times New Roman"/>
                <w:sz w:val="21"/>
                <w:szCs w:val="21"/>
              </w:rPr>
            </w:pPr>
            <w:r>
              <w:rPr>
                <w:rFonts w:ascii="Times New Roman" w:hAnsi="Times New Roman" w:cs="Times New Roman"/>
                <w:b/>
                <w:bCs/>
                <w:sz w:val="21"/>
                <w:szCs w:val="21"/>
              </w:rPr>
              <w:t>Jing Gong</w:t>
            </w:r>
            <w:r>
              <w:rPr>
                <w:rFonts w:ascii="Times New Roman" w:hAnsi="Times New Roman" w:cs="Times New Roman"/>
                <w:sz w:val="21"/>
                <w:szCs w:val="21"/>
              </w:rPr>
              <w:t xml:space="preserve">, Jianbo Tian, Jiao Lou, Xiaoyang Wang, Juntao Ke, Jiaoyuan Li, Yang Yang, Yajie Gong, Ying Zhu, Danyi Zou, Xiating Peng, Nan Yang, Shufang Mei, Rong Zhong, Jiang Chang, and Xiaoping Miao. A polymorphic MYC response element in KBTBD11 influences colorectal cancer risk, especially in interaction with an MYC-regulated SNP rs6983267. </w:t>
            </w:r>
            <w:r>
              <w:rPr>
                <w:rFonts w:ascii="Times New Roman" w:hAnsi="Times New Roman" w:cs="Times New Roman"/>
                <w:b/>
                <w:bCs/>
                <w:sz w:val="21"/>
                <w:szCs w:val="21"/>
              </w:rPr>
              <w:t>Annals of Oncology.</w:t>
            </w:r>
            <w:r>
              <w:rPr>
                <w:rFonts w:ascii="Times New Roman" w:hAnsi="Times New Roman" w:cs="Times New Roman"/>
                <w:sz w:val="21"/>
                <w:szCs w:val="21"/>
              </w:rPr>
              <w:t xml:space="preserve"> (2018) 29, 632-639.</w:t>
            </w:r>
          </w:p>
          <w:p w14:paraId="6F966D04">
            <w:pPr>
              <w:pStyle w:val="13"/>
              <w:keepNext w:val="0"/>
              <w:keepLines w:val="0"/>
              <w:pageBreakBefore w:val="0"/>
              <w:widowControl w:val="0"/>
              <w:numPr>
                <w:ilvl w:val="0"/>
                <w:numId w:val="2"/>
              </w:numPr>
              <w:kinsoku/>
              <w:wordWrap/>
              <w:overflowPunct/>
              <w:topLinePunct w:val="0"/>
              <w:autoSpaceDE/>
              <w:autoSpaceDN/>
              <w:bidi w:val="0"/>
              <w:adjustRightInd/>
              <w:snapToGrid/>
              <w:spacing w:line="288" w:lineRule="auto"/>
              <w:ind w:left="420" w:hanging="420" w:firstLineChars="0"/>
              <w:textAlignment w:val="auto"/>
              <w:rPr>
                <w:sz w:val="24"/>
              </w:rPr>
            </w:pPr>
            <w:r>
              <w:rPr>
                <w:rFonts w:ascii="Times New Roman" w:hAnsi="Times New Roman" w:cs="Times New Roman"/>
                <w:b/>
                <w:bCs/>
                <w:sz w:val="21"/>
                <w:szCs w:val="21"/>
              </w:rPr>
              <w:t>Jing Gong</w:t>
            </w:r>
            <w:r>
              <w:rPr>
                <w:rFonts w:ascii="Times New Roman" w:hAnsi="Times New Roman" w:cs="Times New Roman"/>
                <w:sz w:val="21"/>
                <w:szCs w:val="21"/>
              </w:rPr>
              <w:t xml:space="preserve">, Yajuan Li, Chun-jie Liu, Yu Xiang, Chunlai Li, Youqiong Ye, Zhao Zhang, David H Hawke, Peter K Park, Lixia Diao, John A Putkey, Liuqing Yang, An-Yuan Guo, Chunru Lin, and leng Han. A pan-cancer analysis of the expression and clinical relevance of small nucleolar RNAs in human cancer. </w:t>
            </w:r>
            <w:r>
              <w:rPr>
                <w:rFonts w:ascii="Times New Roman" w:hAnsi="Times New Roman" w:cs="Times New Roman"/>
                <w:b/>
                <w:bCs/>
                <w:sz w:val="21"/>
                <w:szCs w:val="21"/>
              </w:rPr>
              <w:t>Cell reports</w:t>
            </w:r>
            <w:r>
              <w:rPr>
                <w:rFonts w:ascii="Times New Roman" w:hAnsi="Times New Roman" w:cs="Times New Roman"/>
                <w:sz w:val="21"/>
                <w:szCs w:val="21"/>
              </w:rPr>
              <w:t>. (2017) 21, 1968-1981.</w:t>
            </w:r>
          </w:p>
        </w:tc>
      </w:tr>
    </w:tbl>
    <w:p w14:paraId="74430D7F"/>
    <w:sectPr>
      <w:headerReference r:id="rId3" w:type="default"/>
      <w:pgSz w:w="11906" w:h="16838"/>
      <w:pgMar w:top="1191" w:right="1797" w:bottom="119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EE674">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962EC"/>
    <w:multiLevelType w:val="multilevel"/>
    <w:tmpl w:val="054962E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5540A35"/>
    <w:multiLevelType w:val="multilevel"/>
    <w:tmpl w:val="65540A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YjVjNGY5ZjVhN2JlMDE2MTFmNzI1ZWNmNjgwNmUifQ=="/>
  </w:docVars>
  <w:rsids>
    <w:rsidRoot w:val="008A3A3F"/>
    <w:rsid w:val="001A5412"/>
    <w:rsid w:val="001F3C18"/>
    <w:rsid w:val="003A363B"/>
    <w:rsid w:val="00587AC1"/>
    <w:rsid w:val="006168DE"/>
    <w:rsid w:val="006C3A5C"/>
    <w:rsid w:val="00752892"/>
    <w:rsid w:val="008661FA"/>
    <w:rsid w:val="008A3A3F"/>
    <w:rsid w:val="009C76F7"/>
    <w:rsid w:val="00CD6A39"/>
    <w:rsid w:val="00D525F5"/>
    <w:rsid w:val="00EE132E"/>
    <w:rsid w:val="03083484"/>
    <w:rsid w:val="338F06E3"/>
    <w:rsid w:val="35465C77"/>
    <w:rsid w:val="37FA5259"/>
    <w:rsid w:val="555C23A0"/>
    <w:rsid w:val="57432307"/>
    <w:rsid w:val="6FFE1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qFormat/>
    <w:uiPriority w:val="0"/>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584</Words>
  <Characters>3764</Characters>
  <Lines>19</Lines>
  <Paragraphs>5</Paragraphs>
  <TotalTime>0</TotalTime>
  <ScaleCrop>false</ScaleCrop>
  <LinksUpToDate>false</LinksUpToDate>
  <CharactersWithSpaces>4310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2015-11-26T01:58:00Z</dcterms:created>
  <dc:creator>admin</dc:creator>
  <cp:lastModifiedBy>龚静</cp:lastModifiedBy>
  <dcterms:modified xsi:type="dcterms:W3CDTF">2025-09-24T01:31:13Z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D635317AA4D945F4B3BB72A640113573_13</vt:lpwstr>
  </property>
</Properties>
</file>