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E16" w14:textId="77777777" w:rsidR="0009794E" w:rsidRDefault="00000000">
      <w:pPr>
        <w:tabs>
          <w:tab w:val="left" w:pos="1630"/>
          <w:tab w:val="center" w:pos="4860"/>
        </w:tabs>
        <w:spacing w:line="360" w:lineRule="auto"/>
        <w:ind w:left="-180"/>
        <w:jc w:val="center"/>
        <w:rPr>
          <w:b/>
          <w:bCs/>
          <w:color w:val="000000"/>
          <w:sz w:val="32"/>
          <w:u w:val="single"/>
        </w:rPr>
      </w:pPr>
      <w:r>
        <w:rPr>
          <w:b/>
          <w:color w:val="000000"/>
          <w:sz w:val="32"/>
        </w:rPr>
        <w:t>CURRICULUM VITAE</w:t>
      </w:r>
    </w:p>
    <w:p w14:paraId="3B382442" w14:textId="77777777" w:rsidR="0009794E" w:rsidRDefault="0009794E">
      <w:pPr>
        <w:tabs>
          <w:tab w:val="left" w:pos="840"/>
        </w:tabs>
        <w:rPr>
          <w:sz w:val="24"/>
        </w:rPr>
      </w:pPr>
    </w:p>
    <w:tbl>
      <w:tblPr>
        <w:tblW w:w="94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1704"/>
        <w:gridCol w:w="2127"/>
        <w:gridCol w:w="1133"/>
        <w:gridCol w:w="1128"/>
        <w:gridCol w:w="2111"/>
      </w:tblGrid>
      <w:tr w:rsidR="0009794E" w14:paraId="374100F0" w14:textId="77777777">
        <w:trPr>
          <w:cantSplit/>
          <w:trHeight w:val="456"/>
        </w:trPr>
        <w:tc>
          <w:tcPr>
            <w:tcW w:w="7365" w:type="dxa"/>
            <w:gridSpan w:val="5"/>
            <w:shd w:val="clear" w:color="auto" w:fill="00B050"/>
            <w:vAlign w:val="center"/>
          </w:tcPr>
          <w:p w14:paraId="73D3D1E3" w14:textId="77777777" w:rsidR="0009794E" w:rsidRDefault="00000000">
            <w:pPr>
              <w:jc w:val="left"/>
              <w:rPr>
                <w:b/>
                <w:sz w:val="24"/>
              </w:rPr>
            </w:pPr>
            <w:r>
              <w:rPr>
                <w:rFonts w:hint="eastAsia"/>
                <w:b/>
                <w:sz w:val="24"/>
              </w:rPr>
              <w:t xml:space="preserve">Personal Information </w:t>
            </w:r>
          </w:p>
        </w:tc>
        <w:tc>
          <w:tcPr>
            <w:tcW w:w="2111" w:type="dxa"/>
            <w:vMerge w:val="restart"/>
            <w:vAlign w:val="center"/>
          </w:tcPr>
          <w:p w14:paraId="2027F078" w14:textId="1ED45B0C" w:rsidR="0009794E" w:rsidRDefault="004105E0" w:rsidP="0021125C">
            <w:pPr>
              <w:jc w:val="center"/>
              <w:rPr>
                <w:sz w:val="24"/>
              </w:rPr>
            </w:pPr>
            <w:r>
              <w:rPr>
                <w:noProof/>
                <w:sz w:val="24"/>
              </w:rPr>
              <w:drawing>
                <wp:inline distT="0" distB="0" distL="0" distR="0" wp14:anchorId="405B5BD3" wp14:editId="38F4B519">
                  <wp:extent cx="1329055" cy="1566545"/>
                  <wp:effectExtent l="0" t="0" r="0" b="0"/>
                  <wp:docPr id="15081264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055" cy="1566545"/>
                          </a:xfrm>
                          <a:prstGeom prst="rect">
                            <a:avLst/>
                          </a:prstGeom>
                          <a:noFill/>
                        </pic:spPr>
                      </pic:pic>
                    </a:graphicData>
                  </a:graphic>
                </wp:inline>
              </w:drawing>
            </w:r>
          </w:p>
        </w:tc>
      </w:tr>
      <w:tr w:rsidR="0009794E" w14:paraId="5364B6D1" w14:textId="77777777">
        <w:trPr>
          <w:cantSplit/>
          <w:trHeight w:val="456"/>
        </w:trPr>
        <w:tc>
          <w:tcPr>
            <w:tcW w:w="1273" w:type="dxa"/>
            <w:vAlign w:val="center"/>
          </w:tcPr>
          <w:p w14:paraId="53CDCCC1" w14:textId="77777777" w:rsidR="0009794E" w:rsidRDefault="00000000">
            <w:pPr>
              <w:jc w:val="center"/>
              <w:rPr>
                <w:sz w:val="24"/>
              </w:rPr>
            </w:pPr>
            <w:r>
              <w:rPr>
                <w:sz w:val="24"/>
              </w:rPr>
              <w:t>Name</w:t>
            </w:r>
          </w:p>
        </w:tc>
        <w:tc>
          <w:tcPr>
            <w:tcW w:w="1704" w:type="dxa"/>
            <w:vAlign w:val="center"/>
          </w:tcPr>
          <w:p w14:paraId="1934F297" w14:textId="4318E3CF" w:rsidR="0009794E" w:rsidRDefault="0021125C">
            <w:pPr>
              <w:jc w:val="center"/>
              <w:rPr>
                <w:sz w:val="24"/>
              </w:rPr>
            </w:pPr>
            <w:r>
              <w:rPr>
                <w:rFonts w:hint="eastAsia"/>
                <w:sz w:val="24"/>
              </w:rPr>
              <w:t>Shan Wang</w:t>
            </w:r>
          </w:p>
        </w:tc>
        <w:tc>
          <w:tcPr>
            <w:tcW w:w="2127" w:type="dxa"/>
            <w:vAlign w:val="center"/>
          </w:tcPr>
          <w:p w14:paraId="1F4B429B" w14:textId="77777777" w:rsidR="0009794E" w:rsidRDefault="00000000">
            <w:pPr>
              <w:jc w:val="center"/>
              <w:rPr>
                <w:sz w:val="24"/>
              </w:rPr>
            </w:pPr>
            <w:r>
              <w:rPr>
                <w:sz w:val="24"/>
              </w:rPr>
              <w:t>Gender</w:t>
            </w:r>
          </w:p>
        </w:tc>
        <w:tc>
          <w:tcPr>
            <w:tcW w:w="2261" w:type="dxa"/>
            <w:gridSpan w:val="2"/>
            <w:tcMar>
              <w:left w:w="0" w:type="dxa"/>
              <w:right w:w="0" w:type="dxa"/>
            </w:tcMar>
            <w:vAlign w:val="center"/>
          </w:tcPr>
          <w:p w14:paraId="2546ED2E" w14:textId="3F97B7D0" w:rsidR="0009794E" w:rsidRDefault="004A3599">
            <w:pPr>
              <w:jc w:val="center"/>
              <w:rPr>
                <w:sz w:val="24"/>
              </w:rPr>
            </w:pPr>
            <w:r>
              <w:rPr>
                <w:sz w:val="24"/>
              </w:rPr>
              <w:t>F</w:t>
            </w:r>
            <w:r>
              <w:rPr>
                <w:rFonts w:hint="eastAsia"/>
                <w:sz w:val="24"/>
              </w:rPr>
              <w:t>emale</w:t>
            </w:r>
          </w:p>
        </w:tc>
        <w:tc>
          <w:tcPr>
            <w:tcW w:w="2111" w:type="dxa"/>
            <w:vMerge/>
            <w:vAlign w:val="center"/>
          </w:tcPr>
          <w:p w14:paraId="2D05D262" w14:textId="77777777" w:rsidR="0009794E" w:rsidRDefault="0009794E">
            <w:pPr>
              <w:jc w:val="center"/>
              <w:rPr>
                <w:sz w:val="24"/>
              </w:rPr>
            </w:pPr>
          </w:p>
        </w:tc>
      </w:tr>
      <w:tr w:rsidR="0009794E" w14:paraId="215605FF" w14:textId="77777777">
        <w:trPr>
          <w:cantSplit/>
          <w:trHeight w:val="461"/>
        </w:trPr>
        <w:tc>
          <w:tcPr>
            <w:tcW w:w="2977" w:type="dxa"/>
            <w:gridSpan w:val="2"/>
            <w:vAlign w:val="center"/>
          </w:tcPr>
          <w:p w14:paraId="59C65920" w14:textId="77777777" w:rsidR="0009794E" w:rsidRDefault="00000000">
            <w:pPr>
              <w:jc w:val="center"/>
              <w:rPr>
                <w:sz w:val="24"/>
              </w:rPr>
            </w:pPr>
            <w:r>
              <w:rPr>
                <w:rFonts w:hint="eastAsia"/>
                <w:sz w:val="24"/>
              </w:rPr>
              <w:t>Position Title</w:t>
            </w:r>
          </w:p>
        </w:tc>
        <w:tc>
          <w:tcPr>
            <w:tcW w:w="4388" w:type="dxa"/>
            <w:gridSpan w:val="3"/>
            <w:vAlign w:val="center"/>
          </w:tcPr>
          <w:p w14:paraId="2955FB5D" w14:textId="5F3D6346" w:rsidR="0009794E" w:rsidRDefault="004A3599">
            <w:pPr>
              <w:jc w:val="center"/>
              <w:rPr>
                <w:sz w:val="24"/>
              </w:rPr>
            </w:pPr>
            <w:r>
              <w:rPr>
                <w:rFonts w:hint="eastAsia"/>
                <w:sz w:val="24"/>
              </w:rPr>
              <w:t>Professor</w:t>
            </w:r>
          </w:p>
        </w:tc>
        <w:tc>
          <w:tcPr>
            <w:tcW w:w="2111" w:type="dxa"/>
            <w:vMerge/>
          </w:tcPr>
          <w:p w14:paraId="6298F759" w14:textId="77777777" w:rsidR="0009794E" w:rsidRDefault="0009794E">
            <w:pPr>
              <w:jc w:val="center"/>
              <w:rPr>
                <w:sz w:val="24"/>
              </w:rPr>
            </w:pPr>
          </w:p>
        </w:tc>
      </w:tr>
      <w:tr w:rsidR="0009794E" w14:paraId="49880FAA" w14:textId="77777777">
        <w:trPr>
          <w:cantSplit/>
          <w:trHeight w:val="461"/>
        </w:trPr>
        <w:tc>
          <w:tcPr>
            <w:tcW w:w="2977" w:type="dxa"/>
            <w:gridSpan w:val="2"/>
            <w:vAlign w:val="center"/>
          </w:tcPr>
          <w:p w14:paraId="7C30DA5B" w14:textId="77777777" w:rsidR="0009794E" w:rsidRDefault="00000000">
            <w:pPr>
              <w:jc w:val="center"/>
              <w:rPr>
                <w:sz w:val="24"/>
              </w:rPr>
            </w:pPr>
            <w:r>
              <w:rPr>
                <w:rFonts w:hint="eastAsia"/>
                <w:sz w:val="24"/>
              </w:rPr>
              <w:t>Working Department</w:t>
            </w:r>
          </w:p>
        </w:tc>
        <w:tc>
          <w:tcPr>
            <w:tcW w:w="4388" w:type="dxa"/>
            <w:gridSpan w:val="3"/>
            <w:vAlign w:val="center"/>
          </w:tcPr>
          <w:p w14:paraId="7935C346" w14:textId="1FCC0CD0" w:rsidR="0009794E" w:rsidRDefault="004A3599">
            <w:pPr>
              <w:jc w:val="center"/>
              <w:rPr>
                <w:sz w:val="24"/>
              </w:rPr>
            </w:pPr>
            <w:r w:rsidRPr="004A3599">
              <w:rPr>
                <w:sz w:val="24"/>
              </w:rPr>
              <w:t>College of Food Sciences &amp; Technology</w:t>
            </w:r>
          </w:p>
        </w:tc>
        <w:tc>
          <w:tcPr>
            <w:tcW w:w="2111" w:type="dxa"/>
            <w:vMerge/>
          </w:tcPr>
          <w:p w14:paraId="1E915C21" w14:textId="77777777" w:rsidR="0009794E" w:rsidRDefault="0009794E">
            <w:pPr>
              <w:jc w:val="center"/>
              <w:rPr>
                <w:sz w:val="24"/>
              </w:rPr>
            </w:pPr>
          </w:p>
        </w:tc>
      </w:tr>
      <w:tr w:rsidR="0009794E" w14:paraId="5ABD40FE" w14:textId="77777777">
        <w:trPr>
          <w:cantSplit/>
          <w:trHeight w:val="452"/>
        </w:trPr>
        <w:tc>
          <w:tcPr>
            <w:tcW w:w="1273" w:type="dxa"/>
            <w:tcMar>
              <w:left w:w="0" w:type="dxa"/>
              <w:right w:w="0" w:type="dxa"/>
            </w:tcMar>
            <w:vAlign w:val="center"/>
          </w:tcPr>
          <w:p w14:paraId="03CDD703" w14:textId="77777777" w:rsidR="0009794E" w:rsidRDefault="00000000">
            <w:pPr>
              <w:jc w:val="center"/>
              <w:rPr>
                <w:sz w:val="24"/>
              </w:rPr>
            </w:pPr>
            <w:r>
              <w:rPr>
                <w:rFonts w:hint="eastAsia"/>
                <w:sz w:val="24"/>
              </w:rPr>
              <w:t>Email</w:t>
            </w:r>
          </w:p>
        </w:tc>
        <w:tc>
          <w:tcPr>
            <w:tcW w:w="6092" w:type="dxa"/>
            <w:gridSpan w:val="4"/>
            <w:vAlign w:val="center"/>
          </w:tcPr>
          <w:p w14:paraId="0ABE30EF" w14:textId="437BA613" w:rsidR="0009794E" w:rsidRDefault="00C2592F">
            <w:pPr>
              <w:jc w:val="center"/>
              <w:rPr>
                <w:sz w:val="24"/>
              </w:rPr>
            </w:pPr>
            <w:r w:rsidRPr="00C2592F">
              <w:rPr>
                <w:sz w:val="24"/>
              </w:rPr>
              <w:t>shanwang@mail.hzau.edu.cn</w:t>
            </w:r>
          </w:p>
        </w:tc>
        <w:tc>
          <w:tcPr>
            <w:tcW w:w="2111" w:type="dxa"/>
            <w:vMerge/>
          </w:tcPr>
          <w:p w14:paraId="3D68060F" w14:textId="77777777" w:rsidR="0009794E" w:rsidRDefault="0009794E">
            <w:pPr>
              <w:jc w:val="center"/>
              <w:rPr>
                <w:sz w:val="24"/>
              </w:rPr>
            </w:pPr>
          </w:p>
        </w:tc>
      </w:tr>
      <w:tr w:rsidR="0009794E" w14:paraId="2E039D1E" w14:textId="77777777">
        <w:trPr>
          <w:cantSplit/>
          <w:trHeight w:val="680"/>
        </w:trPr>
        <w:tc>
          <w:tcPr>
            <w:tcW w:w="1273" w:type="dxa"/>
            <w:tcMar>
              <w:left w:w="0" w:type="dxa"/>
              <w:right w:w="0" w:type="dxa"/>
            </w:tcMar>
            <w:vAlign w:val="center"/>
          </w:tcPr>
          <w:p w14:paraId="29733E6B" w14:textId="77777777" w:rsidR="0009794E" w:rsidRDefault="00000000">
            <w:pPr>
              <w:jc w:val="center"/>
              <w:rPr>
                <w:sz w:val="24"/>
              </w:rPr>
            </w:pPr>
            <w:r>
              <w:rPr>
                <w:rFonts w:hint="eastAsia"/>
                <w:sz w:val="24"/>
              </w:rPr>
              <w:t>Address</w:t>
            </w:r>
          </w:p>
        </w:tc>
        <w:tc>
          <w:tcPr>
            <w:tcW w:w="6092" w:type="dxa"/>
            <w:gridSpan w:val="4"/>
            <w:vAlign w:val="center"/>
          </w:tcPr>
          <w:p w14:paraId="452E6929" w14:textId="0992C58A" w:rsidR="0009794E" w:rsidRDefault="00CA0219">
            <w:pPr>
              <w:jc w:val="center"/>
              <w:rPr>
                <w:sz w:val="24"/>
              </w:rPr>
            </w:pPr>
            <w:r w:rsidRPr="00CA0219">
              <w:rPr>
                <w:sz w:val="24"/>
              </w:rPr>
              <w:t>Huazhong Agricultural University</w:t>
            </w:r>
            <w:r w:rsidR="00106730" w:rsidRPr="00106730">
              <w:rPr>
                <w:sz w:val="24"/>
              </w:rPr>
              <w:t>, Wuhan, China</w:t>
            </w:r>
            <w:r>
              <w:rPr>
                <w:rFonts w:hint="eastAsia"/>
                <w:sz w:val="24"/>
              </w:rPr>
              <w:t xml:space="preserve">, </w:t>
            </w:r>
            <w:r w:rsidRPr="00CA0219">
              <w:rPr>
                <w:sz w:val="24"/>
              </w:rPr>
              <w:t>430070</w:t>
            </w:r>
          </w:p>
        </w:tc>
        <w:tc>
          <w:tcPr>
            <w:tcW w:w="2111" w:type="dxa"/>
            <w:vMerge/>
          </w:tcPr>
          <w:p w14:paraId="20851F04" w14:textId="77777777" w:rsidR="0009794E" w:rsidRDefault="0009794E">
            <w:pPr>
              <w:jc w:val="center"/>
              <w:rPr>
                <w:sz w:val="24"/>
              </w:rPr>
            </w:pPr>
          </w:p>
        </w:tc>
      </w:tr>
      <w:tr w:rsidR="0009794E" w14:paraId="1C6CFBE0" w14:textId="77777777">
        <w:trPr>
          <w:cantSplit/>
          <w:trHeight w:val="285"/>
        </w:trPr>
        <w:tc>
          <w:tcPr>
            <w:tcW w:w="1273" w:type="dxa"/>
            <w:tcMar>
              <w:left w:w="0" w:type="dxa"/>
              <w:right w:w="0" w:type="dxa"/>
            </w:tcMar>
            <w:vAlign w:val="center"/>
          </w:tcPr>
          <w:p w14:paraId="5BAF585F" w14:textId="77777777" w:rsidR="0009794E" w:rsidRDefault="00000000">
            <w:pPr>
              <w:jc w:val="center"/>
              <w:rPr>
                <w:sz w:val="24"/>
              </w:rPr>
            </w:pPr>
            <w:r>
              <w:rPr>
                <w:rFonts w:hint="eastAsia"/>
                <w:sz w:val="24"/>
              </w:rPr>
              <w:t>Tel</w:t>
            </w:r>
          </w:p>
        </w:tc>
        <w:tc>
          <w:tcPr>
            <w:tcW w:w="3831" w:type="dxa"/>
            <w:gridSpan w:val="2"/>
            <w:vAlign w:val="center"/>
          </w:tcPr>
          <w:p w14:paraId="70DE117F" w14:textId="4DA85C96" w:rsidR="0009794E" w:rsidRDefault="00074498">
            <w:pPr>
              <w:jc w:val="center"/>
              <w:rPr>
                <w:sz w:val="24"/>
              </w:rPr>
            </w:pPr>
            <w:r w:rsidRPr="00074498">
              <w:rPr>
                <w:sz w:val="24"/>
              </w:rPr>
              <w:t>(+86)</w:t>
            </w:r>
            <w:r>
              <w:rPr>
                <w:rFonts w:hint="eastAsia"/>
                <w:sz w:val="24"/>
              </w:rPr>
              <w:t xml:space="preserve"> </w:t>
            </w:r>
            <w:r w:rsidR="00CF3769">
              <w:rPr>
                <w:rFonts w:hint="eastAsia"/>
                <w:sz w:val="24"/>
              </w:rPr>
              <w:t>15871802837</w:t>
            </w:r>
          </w:p>
        </w:tc>
        <w:tc>
          <w:tcPr>
            <w:tcW w:w="1133" w:type="dxa"/>
            <w:vAlign w:val="center"/>
          </w:tcPr>
          <w:p w14:paraId="12521EF0" w14:textId="77777777" w:rsidR="0009794E" w:rsidRDefault="00000000">
            <w:pPr>
              <w:jc w:val="center"/>
              <w:rPr>
                <w:sz w:val="24"/>
              </w:rPr>
            </w:pPr>
            <w:r>
              <w:rPr>
                <w:rFonts w:hint="eastAsia"/>
                <w:sz w:val="24"/>
              </w:rPr>
              <w:t xml:space="preserve">Fax </w:t>
            </w:r>
          </w:p>
        </w:tc>
        <w:tc>
          <w:tcPr>
            <w:tcW w:w="3239" w:type="dxa"/>
            <w:gridSpan w:val="2"/>
            <w:vAlign w:val="center"/>
          </w:tcPr>
          <w:p w14:paraId="7379A2F1" w14:textId="77777777" w:rsidR="0009794E" w:rsidRDefault="0009794E">
            <w:pPr>
              <w:jc w:val="center"/>
              <w:rPr>
                <w:sz w:val="24"/>
              </w:rPr>
            </w:pPr>
          </w:p>
        </w:tc>
      </w:tr>
      <w:tr w:rsidR="0009794E" w14:paraId="69721022" w14:textId="77777777">
        <w:trPr>
          <w:trHeight w:val="388"/>
        </w:trPr>
        <w:tc>
          <w:tcPr>
            <w:tcW w:w="9476" w:type="dxa"/>
            <w:gridSpan w:val="6"/>
            <w:shd w:val="clear" w:color="auto" w:fill="00B050"/>
            <w:vAlign w:val="center"/>
          </w:tcPr>
          <w:p w14:paraId="1C0791D3" w14:textId="77777777" w:rsidR="0009794E" w:rsidRDefault="00000000">
            <w:pPr>
              <w:jc w:val="left"/>
              <w:rPr>
                <w:b/>
                <w:sz w:val="24"/>
              </w:rPr>
            </w:pPr>
            <w:r>
              <w:rPr>
                <w:rFonts w:hint="eastAsia"/>
                <w:b/>
                <w:sz w:val="24"/>
              </w:rPr>
              <w:t xml:space="preserve">Research Interest </w:t>
            </w:r>
          </w:p>
        </w:tc>
      </w:tr>
      <w:tr w:rsidR="0009794E" w14:paraId="10C01FF8" w14:textId="77777777">
        <w:trPr>
          <w:trHeight w:val="1155"/>
        </w:trPr>
        <w:tc>
          <w:tcPr>
            <w:tcW w:w="9476" w:type="dxa"/>
            <w:gridSpan w:val="6"/>
            <w:tcMar>
              <w:left w:w="0" w:type="dxa"/>
              <w:right w:w="0" w:type="dxa"/>
            </w:tcMar>
            <w:vAlign w:val="center"/>
          </w:tcPr>
          <w:p w14:paraId="1C9C6725" w14:textId="3802861B" w:rsidR="00A36484" w:rsidRPr="00A36484" w:rsidRDefault="00A301D9" w:rsidP="00A36484">
            <w:pPr>
              <w:snapToGrid w:val="0"/>
              <w:spacing w:afterLines="50" w:after="156"/>
              <w:rPr>
                <w:b/>
                <w:sz w:val="24"/>
              </w:rPr>
            </w:pPr>
            <w:bookmarkStart w:id="0" w:name="_Hlk214229938"/>
            <w:bookmarkStart w:id="1" w:name="_Hlk214229939"/>
            <w:r w:rsidRPr="00A301D9">
              <w:rPr>
                <w:b/>
                <w:sz w:val="24"/>
              </w:rPr>
              <w:t xml:space="preserve">Pathogenesis of Foodborne Pathogens and </w:t>
            </w:r>
            <w:r w:rsidR="00B06705" w:rsidRPr="00B06705">
              <w:rPr>
                <w:b/>
                <w:sz w:val="24"/>
              </w:rPr>
              <w:t xml:space="preserve">Synthetic Biology-Based </w:t>
            </w:r>
            <w:r w:rsidRPr="00A301D9">
              <w:rPr>
                <w:b/>
                <w:sz w:val="24"/>
              </w:rPr>
              <w:t>Biocontrol for Food Safety</w:t>
            </w:r>
            <w:r w:rsidR="00B06705">
              <w:rPr>
                <w:rFonts w:hint="eastAsia"/>
                <w:b/>
                <w:sz w:val="24"/>
              </w:rPr>
              <w:t xml:space="preserve"> </w:t>
            </w:r>
            <w:r w:rsidR="00A36484" w:rsidRPr="00A36484">
              <w:rPr>
                <w:b/>
                <w:sz w:val="24"/>
              </w:rPr>
              <w:t>(Phage</w:t>
            </w:r>
            <w:r w:rsidR="00A36484" w:rsidRPr="00A36484">
              <w:rPr>
                <w:rFonts w:hint="eastAsia"/>
                <w:b/>
                <w:sz w:val="24"/>
              </w:rPr>
              <w:t xml:space="preserve">, Phage Lysin, </w:t>
            </w:r>
            <w:r w:rsidR="00A36484" w:rsidRPr="00A36484">
              <w:rPr>
                <w:b/>
                <w:sz w:val="24"/>
              </w:rPr>
              <w:t>Antimicrobial Peptides)</w:t>
            </w:r>
            <w:bookmarkEnd w:id="0"/>
            <w:bookmarkEnd w:id="1"/>
          </w:p>
          <w:p w14:paraId="372DBD1A" w14:textId="77777777" w:rsidR="00A36484" w:rsidRPr="00A36484" w:rsidRDefault="00A36484" w:rsidP="00A36484">
            <w:pPr>
              <w:snapToGrid w:val="0"/>
              <w:rPr>
                <w:b/>
                <w:sz w:val="24"/>
              </w:rPr>
            </w:pPr>
            <w:r w:rsidRPr="00A36484">
              <w:rPr>
                <w:rFonts w:hint="eastAsia"/>
                <w:b/>
                <w:sz w:val="24"/>
              </w:rPr>
              <w:t>•</w:t>
            </w:r>
            <w:r w:rsidRPr="00A36484">
              <w:rPr>
                <w:bCs/>
                <w:sz w:val="24"/>
              </w:rPr>
              <w:t>Mechanisms of Pathogenesis and Antimicrobial Resistance (AMR)</w:t>
            </w:r>
            <w:r w:rsidRPr="00A36484">
              <w:rPr>
                <w:rFonts w:hint="eastAsia"/>
                <w:bCs/>
                <w:sz w:val="24"/>
              </w:rPr>
              <w:t xml:space="preserve"> </w:t>
            </w:r>
          </w:p>
          <w:p w14:paraId="02E05966" w14:textId="2D0F57BD" w:rsidR="00A36484" w:rsidRPr="00A36484" w:rsidRDefault="00A36484" w:rsidP="004D758C">
            <w:pPr>
              <w:snapToGrid w:val="0"/>
              <w:ind w:leftChars="50" w:left="105"/>
              <w:rPr>
                <w:bCs/>
                <w:color w:val="808080"/>
                <w:sz w:val="24"/>
              </w:rPr>
            </w:pPr>
            <w:r w:rsidRPr="00A36484">
              <w:rPr>
                <w:bCs/>
                <w:color w:val="808080"/>
                <w:sz w:val="24"/>
              </w:rPr>
              <w:t>Elucidating how virulence factors and AMR determinants co-promote the survival of foodborne pathogens</w:t>
            </w:r>
            <w:r w:rsidRPr="00A36484">
              <w:rPr>
                <w:rFonts w:hint="eastAsia"/>
                <w:bCs/>
                <w:color w:val="808080"/>
                <w:sz w:val="24"/>
              </w:rPr>
              <w:t xml:space="preserve"> </w:t>
            </w:r>
            <w:r w:rsidRPr="00A36484">
              <w:rPr>
                <w:bCs/>
                <w:color w:val="808080"/>
                <w:sz w:val="24"/>
              </w:rPr>
              <w:t>in</w:t>
            </w:r>
            <w:r>
              <w:rPr>
                <w:rFonts w:hint="eastAsia"/>
                <w:bCs/>
                <w:color w:val="808080"/>
                <w:sz w:val="24"/>
              </w:rPr>
              <w:t xml:space="preserve"> </w:t>
            </w:r>
            <w:r w:rsidRPr="00A36484">
              <w:rPr>
                <w:bCs/>
                <w:color w:val="808080"/>
                <w:sz w:val="24"/>
              </w:rPr>
              <w:t>complex food matrices and during food preservation.</w:t>
            </w:r>
          </w:p>
          <w:p w14:paraId="73D2592C" w14:textId="77777777" w:rsidR="00A36484" w:rsidRPr="00A36484" w:rsidRDefault="00A36484" w:rsidP="00A36484">
            <w:pPr>
              <w:snapToGrid w:val="0"/>
              <w:rPr>
                <w:b/>
                <w:sz w:val="11"/>
                <w:szCs w:val="11"/>
              </w:rPr>
            </w:pPr>
          </w:p>
          <w:p w14:paraId="67B3D2E3" w14:textId="77777777" w:rsidR="00A36484" w:rsidRPr="00A36484" w:rsidRDefault="00A36484" w:rsidP="00A36484">
            <w:pPr>
              <w:snapToGrid w:val="0"/>
              <w:rPr>
                <w:b/>
                <w:sz w:val="24"/>
              </w:rPr>
            </w:pPr>
            <w:r w:rsidRPr="00A36484">
              <w:rPr>
                <w:rFonts w:hint="eastAsia"/>
                <w:b/>
                <w:sz w:val="24"/>
              </w:rPr>
              <w:t>•</w:t>
            </w:r>
            <w:r w:rsidRPr="00A36484">
              <w:rPr>
                <w:bCs/>
                <w:sz w:val="24"/>
              </w:rPr>
              <w:t>Next-Generation Biocontrol</w:t>
            </w:r>
            <w:r w:rsidRPr="00A36484">
              <w:rPr>
                <w:rFonts w:hint="eastAsia"/>
                <w:bCs/>
                <w:sz w:val="24"/>
              </w:rPr>
              <w:t xml:space="preserve"> </w:t>
            </w:r>
            <w:r w:rsidRPr="00A36484">
              <w:rPr>
                <w:bCs/>
                <w:sz w:val="24"/>
              </w:rPr>
              <w:t>for AMR Pathogens</w:t>
            </w:r>
          </w:p>
          <w:p w14:paraId="78AE4094" w14:textId="77777777" w:rsidR="00A36484" w:rsidRPr="00A36484" w:rsidRDefault="00A36484" w:rsidP="00EF4E17">
            <w:pPr>
              <w:snapToGrid w:val="0"/>
              <w:ind w:leftChars="50" w:left="105"/>
              <w:rPr>
                <w:bCs/>
                <w:color w:val="808080"/>
                <w:sz w:val="24"/>
              </w:rPr>
            </w:pPr>
            <w:r w:rsidRPr="00A36484">
              <w:rPr>
                <w:bCs/>
                <w:color w:val="808080"/>
                <w:sz w:val="24"/>
              </w:rPr>
              <w:t>Developing phage cocktail/lysin-engineered or antimicrobial peptide (AMP)-based alternatives to antibiotics, with a focus on synergistic efficacy optimization and adaptation to agrifood processing conditions</w:t>
            </w:r>
            <w:r w:rsidRPr="00A36484">
              <w:rPr>
                <w:rFonts w:hint="eastAsia"/>
                <w:bCs/>
                <w:color w:val="808080"/>
                <w:sz w:val="24"/>
              </w:rPr>
              <w:t>.</w:t>
            </w:r>
          </w:p>
          <w:p w14:paraId="4FF0601B" w14:textId="77777777" w:rsidR="00A36484" w:rsidRPr="00A36484" w:rsidRDefault="00A36484" w:rsidP="00A36484">
            <w:pPr>
              <w:snapToGrid w:val="0"/>
              <w:ind w:leftChars="50" w:left="105"/>
              <w:rPr>
                <w:b/>
                <w:sz w:val="11"/>
                <w:szCs w:val="11"/>
              </w:rPr>
            </w:pPr>
          </w:p>
          <w:p w14:paraId="53A3CCD7" w14:textId="77777777" w:rsidR="00A36484" w:rsidRPr="00A36484" w:rsidRDefault="00A36484" w:rsidP="00A36484">
            <w:pPr>
              <w:snapToGrid w:val="0"/>
              <w:rPr>
                <w:b/>
                <w:sz w:val="24"/>
              </w:rPr>
            </w:pPr>
            <w:r w:rsidRPr="00A36484">
              <w:rPr>
                <w:rFonts w:hint="eastAsia"/>
                <w:b/>
                <w:sz w:val="24"/>
              </w:rPr>
              <w:t>•</w:t>
            </w:r>
            <w:r w:rsidRPr="00A36484">
              <w:rPr>
                <w:bCs/>
                <w:sz w:val="24"/>
              </w:rPr>
              <w:t>Intelligent Monitoring Systems</w:t>
            </w:r>
            <w:r w:rsidRPr="00A36484">
              <w:rPr>
                <w:rFonts w:hint="eastAsia"/>
                <w:bCs/>
                <w:sz w:val="24"/>
              </w:rPr>
              <w:t xml:space="preserve"> </w:t>
            </w:r>
            <w:r w:rsidRPr="00A36484">
              <w:rPr>
                <w:bCs/>
                <w:sz w:val="24"/>
              </w:rPr>
              <w:t>for Food Safety</w:t>
            </w:r>
          </w:p>
          <w:p w14:paraId="7997FFB6" w14:textId="3BE64D59" w:rsidR="00A36484" w:rsidRPr="00A36484" w:rsidRDefault="00A36484" w:rsidP="004D758C">
            <w:pPr>
              <w:snapToGrid w:val="0"/>
              <w:ind w:leftChars="50" w:left="105"/>
              <w:rPr>
                <w:bCs/>
                <w:color w:val="808080"/>
                <w:sz w:val="24"/>
              </w:rPr>
            </w:pPr>
            <w:r w:rsidRPr="00A36484">
              <w:rPr>
                <w:bCs/>
                <w:color w:val="808080"/>
                <w:sz w:val="24"/>
              </w:rPr>
              <w:t xml:space="preserve">Constructing real-time </w:t>
            </w:r>
            <w:r w:rsidRPr="00A36484">
              <w:rPr>
                <w:rFonts w:hint="eastAsia"/>
                <w:bCs/>
                <w:color w:val="808080"/>
                <w:sz w:val="24"/>
              </w:rPr>
              <w:t>bio</w:t>
            </w:r>
            <w:r w:rsidRPr="00A36484">
              <w:rPr>
                <w:bCs/>
                <w:color w:val="808080"/>
                <w:sz w:val="24"/>
              </w:rPr>
              <w:t>sensing platforms</w:t>
            </w:r>
            <w:r w:rsidRPr="00A36484">
              <w:rPr>
                <w:rFonts w:ascii="Calibri" w:hAnsi="Calibri"/>
                <w:color w:val="808080"/>
                <w:szCs w:val="22"/>
              </w:rPr>
              <w:t xml:space="preserve"> </w:t>
            </w:r>
            <w:r w:rsidRPr="00A36484">
              <w:rPr>
                <w:bCs/>
                <w:color w:val="808080"/>
                <w:sz w:val="24"/>
              </w:rPr>
              <w:t>(integrating CRISPR-based biosensors, fluorescence probing, and</w:t>
            </w:r>
            <w:r w:rsidR="00150B0E">
              <w:rPr>
                <w:rFonts w:hint="eastAsia"/>
                <w:bCs/>
                <w:color w:val="808080"/>
                <w:sz w:val="24"/>
              </w:rPr>
              <w:t xml:space="preserve"> </w:t>
            </w:r>
            <w:r w:rsidRPr="00A36484">
              <w:rPr>
                <w:bCs/>
                <w:color w:val="808080"/>
                <w:sz w:val="24"/>
              </w:rPr>
              <w:t>molecular simulation) to track pathogen contamination and food preservation stability</w:t>
            </w:r>
            <w:r w:rsidRPr="00A36484">
              <w:rPr>
                <w:rFonts w:hint="eastAsia"/>
                <w:bCs/>
                <w:color w:val="808080"/>
                <w:sz w:val="24"/>
              </w:rPr>
              <w:t>.</w:t>
            </w:r>
          </w:p>
          <w:p w14:paraId="5739DB4F" w14:textId="77777777" w:rsidR="00A36484" w:rsidRPr="00A36484" w:rsidRDefault="00A36484" w:rsidP="00A36484">
            <w:pPr>
              <w:snapToGrid w:val="0"/>
              <w:ind w:firstLineChars="50" w:firstLine="55"/>
              <w:rPr>
                <w:bCs/>
                <w:sz w:val="11"/>
                <w:szCs w:val="11"/>
              </w:rPr>
            </w:pPr>
            <w:bookmarkStart w:id="2" w:name="_Hlk214311718"/>
            <w:bookmarkStart w:id="3" w:name="_Hlk214311719"/>
            <w:bookmarkStart w:id="4" w:name="_Hlk214311720"/>
            <w:bookmarkStart w:id="5" w:name="_Hlk214311721"/>
            <w:bookmarkStart w:id="6" w:name="_Hlk214311722"/>
            <w:bookmarkStart w:id="7" w:name="_Hlk214311723"/>
          </w:p>
          <w:p w14:paraId="619F38A5" w14:textId="77777777" w:rsidR="00A36484" w:rsidRPr="00A36484" w:rsidRDefault="00A36484" w:rsidP="00A36484">
            <w:pPr>
              <w:snapToGrid w:val="0"/>
              <w:rPr>
                <w:b/>
                <w:sz w:val="24"/>
              </w:rPr>
            </w:pPr>
            <w:r w:rsidRPr="00A36484">
              <w:rPr>
                <w:rFonts w:hint="eastAsia"/>
                <w:b/>
                <w:sz w:val="24"/>
              </w:rPr>
              <w:t>•</w:t>
            </w:r>
            <w:bookmarkStart w:id="8" w:name="_Hlk214311666"/>
            <w:bookmarkStart w:id="9" w:name="_Hlk214311667"/>
            <w:bookmarkStart w:id="10" w:name="_Hlk214311672"/>
            <w:bookmarkStart w:id="11" w:name="_Hlk214311673"/>
            <w:bookmarkStart w:id="12" w:name="_Hlk214311674"/>
            <w:bookmarkStart w:id="13" w:name="_Hlk214311675"/>
            <w:bookmarkStart w:id="14" w:name="_Hlk214311676"/>
            <w:bookmarkStart w:id="15" w:name="_Hlk214311677"/>
            <w:bookmarkStart w:id="16" w:name="_Hlk214311678"/>
            <w:bookmarkStart w:id="17" w:name="_Hlk214311679"/>
            <w:bookmarkStart w:id="18" w:name="_Hlk214311703"/>
            <w:bookmarkStart w:id="19" w:name="_Hlk214311704"/>
            <w:bookmarkStart w:id="20" w:name="_Hlk214311705"/>
            <w:bookmarkStart w:id="21" w:name="_Hlk214311706"/>
            <w:bookmarkStart w:id="22" w:name="_Hlk214311707"/>
            <w:bookmarkStart w:id="23" w:name="_Hlk214311708"/>
            <w:bookmarkStart w:id="24" w:name="_Hlk214311709"/>
            <w:bookmarkStart w:id="25" w:name="_Hlk214311710"/>
            <w:r w:rsidRPr="00A36484">
              <w:rPr>
                <w:bCs/>
                <w:sz w:val="24"/>
              </w:rPr>
              <w:t>Safety &amp; Efficacy Evaluation</w:t>
            </w:r>
            <w:r w:rsidRPr="00A36484">
              <w:rPr>
                <w:rFonts w:hint="eastAsia"/>
                <w:bCs/>
                <w:sz w:val="24"/>
              </w:rPr>
              <w:t xml:space="preserve"> </w:t>
            </w:r>
            <w:r w:rsidRPr="00A36484">
              <w:rPr>
                <w:bCs/>
                <w:sz w:val="24"/>
              </w:rPr>
              <w:t>of Novel Biocontrol Agents</w:t>
            </w:r>
          </w:p>
          <w:p w14:paraId="6F979703" w14:textId="77777777" w:rsidR="009504BC" w:rsidRDefault="00A36484" w:rsidP="00EF4E17">
            <w:pPr>
              <w:snapToGrid w:val="0"/>
              <w:ind w:leftChars="50" w:left="105"/>
              <w:rPr>
                <w:bCs/>
                <w:color w:val="808080"/>
                <w:sz w:val="24"/>
              </w:rPr>
            </w:pPr>
            <w:r w:rsidRPr="00A36484">
              <w:rPr>
                <w:bCs/>
                <w:color w:val="808080"/>
                <w:sz w:val="24"/>
              </w:rPr>
              <w:t>Establishing predictive models (structure-activity relationship, metabolic stability simulation)</w:t>
            </w:r>
            <w:r w:rsidRPr="00A36484">
              <w:rPr>
                <w:rFonts w:hint="eastAsia"/>
                <w:bCs/>
                <w:color w:val="808080"/>
                <w:sz w:val="24"/>
              </w:rPr>
              <w:t xml:space="preserve"> </w:t>
            </w:r>
            <w:r w:rsidRPr="00A36484">
              <w:rPr>
                <w:bCs/>
                <w:color w:val="808080"/>
                <w:sz w:val="24"/>
              </w:rPr>
              <w:t xml:space="preserve">to assess safety (cytotoxicity, intestinal tolerance) and efficacy of </w:t>
            </w:r>
            <w:r w:rsidRPr="00A36484">
              <w:rPr>
                <w:rFonts w:hint="eastAsia"/>
                <w:bCs/>
                <w:color w:val="808080"/>
                <w:sz w:val="24"/>
              </w:rPr>
              <w:t>novel</w:t>
            </w:r>
            <w:r w:rsidRPr="00A36484">
              <w:rPr>
                <w:bCs/>
                <w:color w:val="808080"/>
                <w:sz w:val="24"/>
              </w:rPr>
              <w:t xml:space="preserve"> biocontrol agents and peptide-based food </w:t>
            </w:r>
            <w:proofErr w:type="spellStart"/>
            <w:r w:rsidRPr="00A36484">
              <w:rPr>
                <w:bCs/>
                <w:color w:val="808080"/>
                <w:sz w:val="24"/>
              </w:rPr>
              <w:t>fortificants</w:t>
            </w:r>
            <w:proofErr w:type="spellEnd"/>
            <w:r w:rsidRPr="00A36484">
              <w:rPr>
                <w:bCs/>
                <w:color w:val="808080"/>
                <w:sz w:val="24"/>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7E1E94D" w14:textId="23667039" w:rsidR="00EF4E17" w:rsidRPr="00EF4E17" w:rsidRDefault="00EF4E17" w:rsidP="00EF4E17">
            <w:pPr>
              <w:snapToGrid w:val="0"/>
              <w:ind w:leftChars="50" w:left="105"/>
              <w:rPr>
                <w:bCs/>
                <w:color w:val="808080"/>
                <w:sz w:val="24"/>
              </w:rPr>
            </w:pPr>
          </w:p>
        </w:tc>
      </w:tr>
      <w:tr w:rsidR="0009794E" w14:paraId="014AD868" w14:textId="77777777">
        <w:trPr>
          <w:trHeight w:val="416"/>
        </w:trPr>
        <w:tc>
          <w:tcPr>
            <w:tcW w:w="9476" w:type="dxa"/>
            <w:gridSpan w:val="6"/>
            <w:shd w:val="clear" w:color="auto" w:fill="00B050"/>
            <w:vAlign w:val="center"/>
          </w:tcPr>
          <w:p w14:paraId="35971D46" w14:textId="77777777" w:rsidR="0009794E" w:rsidRDefault="00000000">
            <w:pPr>
              <w:jc w:val="left"/>
              <w:rPr>
                <w:b/>
                <w:sz w:val="24"/>
              </w:rPr>
            </w:pPr>
            <w:r>
              <w:rPr>
                <w:rFonts w:hint="eastAsia"/>
                <w:b/>
                <w:sz w:val="24"/>
              </w:rPr>
              <w:t>Professional Memberships</w:t>
            </w:r>
          </w:p>
        </w:tc>
      </w:tr>
      <w:tr w:rsidR="0009794E" w14:paraId="12CB2589" w14:textId="77777777" w:rsidTr="00AB40A2">
        <w:trPr>
          <w:trHeight w:val="1026"/>
        </w:trPr>
        <w:tc>
          <w:tcPr>
            <w:tcW w:w="9476" w:type="dxa"/>
            <w:gridSpan w:val="6"/>
            <w:vAlign w:val="center"/>
          </w:tcPr>
          <w:p w14:paraId="2F5CB652" w14:textId="628F1E00" w:rsidR="0009794E" w:rsidRDefault="003F7D87">
            <w:pPr>
              <w:pStyle w:val="a9"/>
              <w:ind w:firstLineChars="0" w:firstLine="0"/>
              <w:rPr>
                <w:sz w:val="24"/>
              </w:rPr>
            </w:pPr>
            <w:r w:rsidRPr="003F7D87">
              <w:rPr>
                <w:sz w:val="24"/>
              </w:rPr>
              <w:t>No formal professional memberships at present; actively following key academic organizations in the fields of antimicrobial peptides, synthetic biology, and foodborne pathogen biocontrol (e.g., ISSB, IPS, CSBT) and planning to join relevant societies to enhance academic engagement.</w:t>
            </w:r>
          </w:p>
        </w:tc>
      </w:tr>
      <w:tr w:rsidR="0009794E" w14:paraId="3B92106F" w14:textId="77777777">
        <w:trPr>
          <w:trHeight w:val="444"/>
        </w:trPr>
        <w:tc>
          <w:tcPr>
            <w:tcW w:w="9476" w:type="dxa"/>
            <w:gridSpan w:val="6"/>
            <w:shd w:val="clear" w:color="auto" w:fill="00B050"/>
            <w:vAlign w:val="center"/>
          </w:tcPr>
          <w:p w14:paraId="166BAB29" w14:textId="77777777" w:rsidR="0009794E" w:rsidRDefault="00000000">
            <w:pPr>
              <w:jc w:val="left"/>
              <w:rPr>
                <w:b/>
                <w:sz w:val="24"/>
              </w:rPr>
            </w:pPr>
            <w:r>
              <w:rPr>
                <w:rFonts w:hint="eastAsia"/>
                <w:b/>
                <w:sz w:val="24"/>
              </w:rPr>
              <w:t>Other Roles</w:t>
            </w:r>
          </w:p>
        </w:tc>
      </w:tr>
      <w:tr w:rsidR="0009794E" w14:paraId="60F345ED" w14:textId="77777777">
        <w:tblPrEx>
          <w:tblCellMar>
            <w:left w:w="108" w:type="dxa"/>
            <w:right w:w="108" w:type="dxa"/>
          </w:tblCellMar>
        </w:tblPrEx>
        <w:trPr>
          <w:trHeight w:val="1025"/>
        </w:trPr>
        <w:tc>
          <w:tcPr>
            <w:tcW w:w="9476" w:type="dxa"/>
            <w:gridSpan w:val="6"/>
            <w:vAlign w:val="center"/>
          </w:tcPr>
          <w:p w14:paraId="6D8D4DEC" w14:textId="50D8027A" w:rsidR="0009794E" w:rsidRPr="0024150D" w:rsidRDefault="005F3481" w:rsidP="0024150D">
            <w:pPr>
              <w:rPr>
                <w:sz w:val="24"/>
              </w:rPr>
            </w:pPr>
            <w:r w:rsidRPr="005F3481">
              <w:rPr>
                <w:sz w:val="24"/>
              </w:rPr>
              <w:t>Guest Editor, Springer’s Advances in Biochemical Engineering/Biotechnology, 202</w:t>
            </w:r>
            <w:r>
              <w:rPr>
                <w:rFonts w:hint="eastAsia"/>
                <w:sz w:val="24"/>
              </w:rPr>
              <w:t>4</w:t>
            </w:r>
            <w:r w:rsidRPr="005F3481">
              <w:rPr>
                <w:sz w:val="24"/>
              </w:rPr>
              <w:t>-</w:t>
            </w:r>
            <w:r>
              <w:rPr>
                <w:rFonts w:hint="eastAsia"/>
                <w:sz w:val="24"/>
              </w:rPr>
              <w:t>Present</w:t>
            </w:r>
          </w:p>
        </w:tc>
      </w:tr>
      <w:tr w:rsidR="0009794E" w14:paraId="60B31A21" w14:textId="77777777">
        <w:tblPrEx>
          <w:tblCellMar>
            <w:left w:w="108" w:type="dxa"/>
            <w:right w:w="108" w:type="dxa"/>
          </w:tblCellMar>
        </w:tblPrEx>
        <w:trPr>
          <w:trHeight w:val="506"/>
        </w:trPr>
        <w:tc>
          <w:tcPr>
            <w:tcW w:w="9476" w:type="dxa"/>
            <w:gridSpan w:val="6"/>
            <w:shd w:val="clear" w:color="auto" w:fill="00B050"/>
            <w:vAlign w:val="center"/>
          </w:tcPr>
          <w:p w14:paraId="6FCE8437" w14:textId="77777777" w:rsidR="0009794E" w:rsidRDefault="00000000">
            <w:pPr>
              <w:rPr>
                <w:b/>
                <w:sz w:val="24"/>
              </w:rPr>
            </w:pPr>
            <w:r>
              <w:rPr>
                <w:rFonts w:hint="eastAsia"/>
                <w:b/>
                <w:sz w:val="24"/>
              </w:rPr>
              <w:t>Education &amp; Working Experience</w:t>
            </w:r>
          </w:p>
        </w:tc>
      </w:tr>
      <w:tr w:rsidR="0009794E" w14:paraId="4C15B849" w14:textId="77777777">
        <w:tblPrEx>
          <w:tblCellMar>
            <w:left w:w="108" w:type="dxa"/>
            <w:right w:w="108" w:type="dxa"/>
          </w:tblCellMar>
        </w:tblPrEx>
        <w:trPr>
          <w:trHeight w:val="1583"/>
        </w:trPr>
        <w:tc>
          <w:tcPr>
            <w:tcW w:w="9476" w:type="dxa"/>
            <w:gridSpan w:val="6"/>
            <w:vAlign w:val="center"/>
          </w:tcPr>
          <w:p w14:paraId="22BE19D5" w14:textId="294EDADE" w:rsidR="00C847E9" w:rsidRDefault="00C847E9" w:rsidP="00764392">
            <w:pPr>
              <w:widowControl/>
              <w:spacing w:line="307" w:lineRule="auto"/>
              <w:jc w:val="left"/>
              <w:rPr>
                <w:kern w:val="0"/>
                <w:sz w:val="22"/>
                <w:szCs w:val="22"/>
              </w:rPr>
            </w:pPr>
            <w:r>
              <w:rPr>
                <w:rFonts w:hint="eastAsia"/>
                <w:kern w:val="0"/>
                <w:sz w:val="22"/>
                <w:szCs w:val="22"/>
              </w:rPr>
              <w:lastRenderedPageBreak/>
              <w:t>2025.</w:t>
            </w:r>
            <w:r w:rsidR="00004AC3">
              <w:rPr>
                <w:rFonts w:hint="eastAsia"/>
                <w:kern w:val="0"/>
                <w:sz w:val="22"/>
                <w:szCs w:val="22"/>
              </w:rPr>
              <w:t>12</w:t>
            </w:r>
            <w:r>
              <w:rPr>
                <w:rFonts w:hint="eastAsia"/>
                <w:kern w:val="0"/>
                <w:sz w:val="22"/>
                <w:szCs w:val="22"/>
              </w:rPr>
              <w:t xml:space="preserve">-Present: Professor, </w:t>
            </w:r>
            <w:r w:rsidR="00D73FEE" w:rsidRPr="00D73FEE">
              <w:rPr>
                <w:kern w:val="0"/>
                <w:sz w:val="22"/>
                <w:szCs w:val="22"/>
              </w:rPr>
              <w:t xml:space="preserve">Hubei </w:t>
            </w:r>
            <w:proofErr w:type="spellStart"/>
            <w:r w:rsidR="00D73FEE" w:rsidRPr="00D73FEE">
              <w:rPr>
                <w:kern w:val="0"/>
                <w:sz w:val="22"/>
                <w:szCs w:val="22"/>
              </w:rPr>
              <w:t>Hongshan</w:t>
            </w:r>
            <w:proofErr w:type="spellEnd"/>
            <w:r w:rsidR="00D73FEE" w:rsidRPr="00D73FEE">
              <w:rPr>
                <w:kern w:val="0"/>
                <w:sz w:val="22"/>
                <w:szCs w:val="22"/>
              </w:rPr>
              <w:t xml:space="preserve"> Laboratory, </w:t>
            </w:r>
            <w:r w:rsidRPr="00C847E9">
              <w:rPr>
                <w:kern w:val="0"/>
                <w:sz w:val="22"/>
                <w:szCs w:val="22"/>
              </w:rPr>
              <w:t>College of Food Sciences &amp; Technology</w:t>
            </w:r>
            <w:r>
              <w:rPr>
                <w:rFonts w:hint="eastAsia"/>
                <w:kern w:val="0"/>
                <w:sz w:val="22"/>
                <w:szCs w:val="22"/>
              </w:rPr>
              <w:t xml:space="preserve">, </w:t>
            </w:r>
            <w:r w:rsidR="009F17AC">
              <w:rPr>
                <w:rFonts w:hint="eastAsia"/>
                <w:kern w:val="0"/>
                <w:sz w:val="22"/>
                <w:szCs w:val="22"/>
              </w:rPr>
              <w:t>Huazhong Agricultural University, China</w:t>
            </w:r>
          </w:p>
          <w:p w14:paraId="6767D28C" w14:textId="42390B96" w:rsidR="00764392" w:rsidRDefault="00764392" w:rsidP="00764392">
            <w:pPr>
              <w:widowControl/>
              <w:spacing w:line="307" w:lineRule="auto"/>
              <w:jc w:val="left"/>
              <w:rPr>
                <w:kern w:val="0"/>
                <w:sz w:val="22"/>
                <w:szCs w:val="22"/>
              </w:rPr>
            </w:pPr>
            <w:r>
              <w:rPr>
                <w:rFonts w:hint="eastAsia"/>
                <w:kern w:val="0"/>
                <w:sz w:val="22"/>
                <w:szCs w:val="22"/>
              </w:rPr>
              <w:t>2022.12-2025.</w:t>
            </w:r>
            <w:r w:rsidR="00004AC3">
              <w:rPr>
                <w:rFonts w:hint="eastAsia"/>
                <w:kern w:val="0"/>
                <w:sz w:val="22"/>
                <w:szCs w:val="22"/>
              </w:rPr>
              <w:t>11</w:t>
            </w:r>
            <w:r>
              <w:rPr>
                <w:rFonts w:hint="eastAsia"/>
                <w:kern w:val="0"/>
                <w:sz w:val="22"/>
                <w:szCs w:val="22"/>
              </w:rPr>
              <w:t xml:space="preserve">: </w:t>
            </w:r>
            <w:r w:rsidR="000F5BB8">
              <w:rPr>
                <w:rFonts w:hint="eastAsia"/>
                <w:kern w:val="0"/>
                <w:sz w:val="22"/>
                <w:szCs w:val="22"/>
              </w:rPr>
              <w:t>Professor</w:t>
            </w:r>
            <w:r>
              <w:rPr>
                <w:rFonts w:hint="eastAsia"/>
                <w:kern w:val="0"/>
                <w:sz w:val="22"/>
                <w:szCs w:val="22"/>
              </w:rPr>
              <w:t xml:space="preserve">, </w:t>
            </w:r>
            <w:r w:rsidR="007816AF" w:rsidRPr="007816AF">
              <w:rPr>
                <w:kern w:val="0"/>
                <w:sz w:val="22"/>
                <w:szCs w:val="22"/>
              </w:rPr>
              <w:t>State Key Laboratory of Microbial Technology</w:t>
            </w:r>
            <w:r w:rsidR="00B40338">
              <w:rPr>
                <w:rFonts w:hint="eastAsia"/>
                <w:kern w:val="0"/>
                <w:sz w:val="22"/>
                <w:szCs w:val="22"/>
              </w:rPr>
              <w:t xml:space="preserve"> (</w:t>
            </w:r>
            <w:r w:rsidR="00C847E9" w:rsidRPr="00C847E9">
              <w:rPr>
                <w:kern w:val="0"/>
                <w:sz w:val="22"/>
                <w:szCs w:val="22"/>
              </w:rPr>
              <w:t>Institute of Microbial Technology</w:t>
            </w:r>
            <w:r w:rsidR="00B40338">
              <w:rPr>
                <w:rFonts w:hint="eastAsia"/>
                <w:kern w:val="0"/>
                <w:sz w:val="22"/>
                <w:szCs w:val="22"/>
              </w:rPr>
              <w:t>)</w:t>
            </w:r>
            <w:r w:rsidR="000F5BB8">
              <w:rPr>
                <w:rFonts w:hint="eastAsia"/>
                <w:kern w:val="0"/>
                <w:sz w:val="22"/>
                <w:szCs w:val="22"/>
              </w:rPr>
              <w:t xml:space="preserve">, </w:t>
            </w:r>
            <w:r>
              <w:rPr>
                <w:rFonts w:hint="eastAsia"/>
                <w:kern w:val="0"/>
                <w:sz w:val="22"/>
                <w:szCs w:val="22"/>
              </w:rPr>
              <w:t>Shandong University</w:t>
            </w:r>
            <w:r w:rsidR="00946173">
              <w:rPr>
                <w:rFonts w:hint="eastAsia"/>
                <w:kern w:val="0"/>
                <w:sz w:val="22"/>
                <w:szCs w:val="22"/>
              </w:rPr>
              <w:t>, China</w:t>
            </w:r>
          </w:p>
          <w:p w14:paraId="3FFC102B" w14:textId="72527E92" w:rsidR="00764392" w:rsidRPr="00764392" w:rsidRDefault="00764392" w:rsidP="00764392">
            <w:pPr>
              <w:widowControl/>
              <w:spacing w:line="307" w:lineRule="auto"/>
              <w:jc w:val="left"/>
              <w:rPr>
                <w:kern w:val="0"/>
                <w:sz w:val="22"/>
                <w:szCs w:val="22"/>
              </w:rPr>
            </w:pPr>
            <w:r w:rsidRPr="00764392">
              <w:rPr>
                <w:kern w:val="0"/>
                <w:sz w:val="22"/>
                <w:szCs w:val="22"/>
              </w:rPr>
              <w:t>2017.04-2021.</w:t>
            </w:r>
            <w:r w:rsidR="00F61FCF">
              <w:rPr>
                <w:rFonts w:hint="eastAsia"/>
                <w:kern w:val="0"/>
                <w:sz w:val="22"/>
                <w:szCs w:val="22"/>
              </w:rPr>
              <w:t>09</w:t>
            </w:r>
            <w:r w:rsidRPr="00764392">
              <w:rPr>
                <w:kern w:val="0"/>
                <w:sz w:val="22"/>
                <w:szCs w:val="22"/>
              </w:rPr>
              <w:t xml:space="preserve">: Postdoctoral research fellow, Department of Chemistry, School of Natural and Computing Sciences, University of Aberdeen, UK                             </w:t>
            </w:r>
          </w:p>
          <w:p w14:paraId="10B6A9AB" w14:textId="3B52CA59" w:rsidR="00764392" w:rsidRPr="00764392" w:rsidRDefault="00764392" w:rsidP="00764392">
            <w:pPr>
              <w:widowControl/>
              <w:spacing w:line="307" w:lineRule="auto"/>
              <w:jc w:val="left"/>
              <w:rPr>
                <w:kern w:val="0"/>
                <w:sz w:val="22"/>
                <w:szCs w:val="22"/>
              </w:rPr>
            </w:pPr>
            <w:r w:rsidRPr="00764392">
              <w:rPr>
                <w:kern w:val="0"/>
                <w:sz w:val="22"/>
                <w:szCs w:val="22"/>
              </w:rPr>
              <w:t xml:space="preserve">2009.09-2015.12: Ph.D. in Microbiology, Huazhong Agricultural University, China                             </w:t>
            </w:r>
          </w:p>
          <w:p w14:paraId="281BC307" w14:textId="0BE30959" w:rsidR="0009794E" w:rsidRPr="00764392" w:rsidRDefault="00764392" w:rsidP="00764392">
            <w:pPr>
              <w:widowControl/>
              <w:spacing w:line="307" w:lineRule="auto"/>
              <w:jc w:val="left"/>
              <w:rPr>
                <w:kern w:val="0"/>
                <w:sz w:val="22"/>
                <w:szCs w:val="22"/>
              </w:rPr>
            </w:pPr>
            <w:r w:rsidRPr="00764392">
              <w:rPr>
                <w:kern w:val="0"/>
                <w:sz w:val="22"/>
                <w:szCs w:val="22"/>
              </w:rPr>
              <w:t>2005.09-2009.06: BSc in Biotechnology, Huazhong Agricultural University, China</w:t>
            </w:r>
          </w:p>
        </w:tc>
      </w:tr>
      <w:tr w:rsidR="0009794E" w14:paraId="0B217842" w14:textId="77777777">
        <w:tblPrEx>
          <w:tblCellMar>
            <w:left w:w="108" w:type="dxa"/>
            <w:right w:w="108" w:type="dxa"/>
          </w:tblCellMar>
        </w:tblPrEx>
        <w:trPr>
          <w:trHeight w:val="506"/>
        </w:trPr>
        <w:tc>
          <w:tcPr>
            <w:tcW w:w="9476" w:type="dxa"/>
            <w:gridSpan w:val="6"/>
            <w:shd w:val="clear" w:color="auto" w:fill="00B050"/>
            <w:vAlign w:val="center"/>
          </w:tcPr>
          <w:p w14:paraId="784BB310" w14:textId="77777777" w:rsidR="0009794E" w:rsidRDefault="00000000">
            <w:pPr>
              <w:rPr>
                <w:b/>
                <w:sz w:val="24"/>
              </w:rPr>
            </w:pPr>
            <w:r>
              <w:rPr>
                <w:rFonts w:hint="eastAsia"/>
                <w:b/>
                <w:sz w:val="24"/>
              </w:rPr>
              <w:t>Publications</w:t>
            </w:r>
          </w:p>
        </w:tc>
      </w:tr>
      <w:tr w:rsidR="0009794E" w14:paraId="47D0047C" w14:textId="77777777">
        <w:tblPrEx>
          <w:tblCellMar>
            <w:left w:w="108" w:type="dxa"/>
            <w:right w:w="108" w:type="dxa"/>
          </w:tblCellMar>
        </w:tblPrEx>
        <w:trPr>
          <w:trHeight w:val="2214"/>
        </w:trPr>
        <w:tc>
          <w:tcPr>
            <w:tcW w:w="9476" w:type="dxa"/>
            <w:gridSpan w:val="6"/>
            <w:vAlign w:val="center"/>
          </w:tcPr>
          <w:p w14:paraId="7CE37545" w14:textId="64013413" w:rsidR="00040575" w:rsidRPr="00040575" w:rsidRDefault="00040575" w:rsidP="00040575">
            <w:pPr>
              <w:widowControl/>
              <w:numPr>
                <w:ilvl w:val="0"/>
                <w:numId w:val="3"/>
              </w:numPr>
              <w:spacing w:line="400" w:lineRule="exact"/>
              <w:outlineLvl w:val="2"/>
              <w:rPr>
                <w:bCs/>
                <w:color w:val="000000"/>
                <w:kern w:val="0"/>
                <w:sz w:val="24"/>
                <w:lang w:eastAsia="en-US"/>
              </w:rPr>
            </w:pPr>
            <w:r w:rsidRPr="0061693E">
              <w:rPr>
                <w:b/>
                <w:bCs/>
                <w:color w:val="000000"/>
                <w:kern w:val="0"/>
                <w:sz w:val="24"/>
                <w:lang w:val="en-GB"/>
              </w:rPr>
              <w:t>Wang, S.</w:t>
            </w:r>
            <w:r w:rsidRPr="0061693E">
              <w:rPr>
                <w:bCs/>
                <w:color w:val="000000"/>
                <w:kern w:val="0"/>
                <w:sz w:val="24"/>
                <w:vertAlign w:val="superscript"/>
                <w:lang w:val="en-GB"/>
              </w:rPr>
              <w:t xml:space="preserve">#, </w:t>
            </w:r>
            <w:r w:rsidRPr="0061693E">
              <w:rPr>
                <w:bCs/>
                <w:color w:val="000000"/>
                <w:kern w:val="0"/>
                <w:sz w:val="24"/>
                <w:lang w:val="en-GB"/>
              </w:rPr>
              <w:t>*, Wu, K.</w:t>
            </w:r>
            <w:r w:rsidRPr="0061693E">
              <w:rPr>
                <w:bCs/>
                <w:color w:val="000000"/>
                <w:kern w:val="0"/>
                <w:sz w:val="24"/>
                <w:vertAlign w:val="superscript"/>
                <w:lang w:val="en-GB"/>
              </w:rPr>
              <w:t>#</w:t>
            </w:r>
            <w:r w:rsidRPr="0061693E">
              <w:rPr>
                <w:bCs/>
                <w:color w:val="000000"/>
                <w:kern w:val="0"/>
                <w:sz w:val="24"/>
                <w:lang w:val="en-GB"/>
              </w:rPr>
              <w:t>, Tang, Y. J.*, &amp; Deng, H</w:t>
            </w:r>
            <w:r w:rsidRPr="0061693E">
              <w:rPr>
                <w:rFonts w:hint="eastAsia"/>
                <w:bCs/>
                <w:color w:val="000000"/>
                <w:kern w:val="0"/>
                <w:sz w:val="24"/>
                <w:lang w:val="en-GB"/>
              </w:rPr>
              <w:t>.</w:t>
            </w:r>
            <w:r w:rsidRPr="0061693E">
              <w:rPr>
                <w:bCs/>
                <w:color w:val="000000"/>
                <w:kern w:val="0"/>
                <w:sz w:val="24"/>
                <w:lang w:val="en-GB"/>
              </w:rPr>
              <w:t>*. Dehydroamino acid residues in bioactive natural products.</w:t>
            </w:r>
            <w:bookmarkStart w:id="26" w:name="_Hlk188607965"/>
            <w:r w:rsidRPr="0061693E">
              <w:rPr>
                <w:bCs/>
                <w:color w:val="000000"/>
                <w:kern w:val="0"/>
                <w:sz w:val="24"/>
                <w:lang w:val="en-GB"/>
              </w:rPr>
              <w:t xml:space="preserve"> </w:t>
            </w:r>
            <w:r w:rsidRPr="0061693E">
              <w:rPr>
                <w:b/>
                <w:bCs/>
                <w:i/>
                <w:iCs/>
                <w:color w:val="000000"/>
                <w:kern w:val="0"/>
                <w:sz w:val="24"/>
                <w:lang w:val="en-GB"/>
              </w:rPr>
              <w:t>Natural Product Reports</w:t>
            </w:r>
            <w:r w:rsidRPr="0061693E">
              <w:rPr>
                <w:bCs/>
                <w:color w:val="000000"/>
                <w:kern w:val="0"/>
                <w:sz w:val="24"/>
                <w:lang w:val="en-GB"/>
              </w:rPr>
              <w:t>,</w:t>
            </w:r>
            <w:bookmarkEnd w:id="26"/>
            <w:r w:rsidRPr="0061693E">
              <w:rPr>
                <w:bCs/>
                <w:color w:val="000000"/>
                <w:kern w:val="0"/>
                <w:sz w:val="24"/>
                <w:lang w:val="en-GB"/>
              </w:rPr>
              <w:t xml:space="preserve"> 2024, 41, 273-297.</w:t>
            </w:r>
          </w:p>
          <w:p w14:paraId="5318D646" w14:textId="0778C894" w:rsidR="0061693E" w:rsidRPr="0061693E" w:rsidRDefault="0061693E" w:rsidP="00040575">
            <w:pPr>
              <w:widowControl/>
              <w:numPr>
                <w:ilvl w:val="0"/>
                <w:numId w:val="3"/>
              </w:numPr>
              <w:spacing w:beforeLines="50" w:before="156" w:line="400" w:lineRule="exact"/>
              <w:contextualSpacing/>
              <w:outlineLvl w:val="2"/>
              <w:rPr>
                <w:rFonts w:eastAsia="等线"/>
                <w:bCs/>
                <w:color w:val="000000"/>
                <w:kern w:val="0"/>
                <w:sz w:val="24"/>
                <w:lang w:eastAsia="en-US"/>
              </w:rPr>
            </w:pPr>
            <w:r w:rsidRPr="0061693E">
              <w:rPr>
                <w:rFonts w:eastAsia="等线"/>
                <w:b/>
                <w:bCs/>
                <w:color w:val="000000"/>
                <w:kern w:val="0"/>
                <w:sz w:val="24"/>
                <w:lang w:eastAsia="en-US"/>
              </w:rPr>
              <w:t>Wang, S.</w:t>
            </w:r>
            <w:r w:rsidRPr="0061693E">
              <w:rPr>
                <w:rFonts w:eastAsia="等线"/>
                <w:b/>
                <w:bCs/>
                <w:color w:val="000000"/>
                <w:kern w:val="0"/>
                <w:sz w:val="24"/>
                <w:vertAlign w:val="superscript"/>
                <w:lang w:eastAsia="en-US"/>
              </w:rPr>
              <w:t>#</w:t>
            </w:r>
            <w:r w:rsidRPr="0061693E">
              <w:rPr>
                <w:rFonts w:eastAsia="等线"/>
                <w:bCs/>
                <w:color w:val="000000"/>
                <w:kern w:val="0"/>
                <w:sz w:val="24"/>
                <w:lang w:eastAsia="en-US"/>
              </w:rPr>
              <w:t xml:space="preserve">, Brittain, W. </w:t>
            </w:r>
            <w:r w:rsidRPr="0061693E">
              <w:rPr>
                <w:rFonts w:eastAsia="等线" w:hint="eastAsia"/>
                <w:bCs/>
                <w:color w:val="000000"/>
                <w:kern w:val="0"/>
                <w:sz w:val="24"/>
                <w:lang w:eastAsia="en-US"/>
              </w:rPr>
              <w:t>D</w:t>
            </w:r>
            <w:r w:rsidRPr="0061693E">
              <w:rPr>
                <w:rFonts w:eastAsia="等线"/>
                <w:bCs/>
                <w:color w:val="000000"/>
                <w:kern w:val="0"/>
                <w:sz w:val="24"/>
                <w:lang w:eastAsia="en-US"/>
              </w:rPr>
              <w:t>.</w:t>
            </w:r>
            <w:r w:rsidRPr="0061693E">
              <w:rPr>
                <w:rFonts w:eastAsia="等线"/>
                <w:bCs/>
                <w:color w:val="000000"/>
                <w:kern w:val="0"/>
                <w:sz w:val="24"/>
                <w:vertAlign w:val="superscript"/>
                <w:lang w:eastAsia="en-US"/>
              </w:rPr>
              <w:t>#</w:t>
            </w:r>
            <w:r w:rsidRPr="0061693E">
              <w:rPr>
                <w:rFonts w:eastAsia="等线"/>
                <w:bCs/>
                <w:color w:val="000000"/>
                <w:kern w:val="0"/>
                <w:sz w:val="24"/>
                <w:lang w:eastAsia="en-US"/>
              </w:rPr>
              <w:t>, Zhang, Q.</w:t>
            </w:r>
            <w:r w:rsidRPr="0061693E">
              <w:rPr>
                <w:rFonts w:eastAsia="等线"/>
                <w:bCs/>
                <w:color w:val="000000"/>
                <w:kern w:val="0"/>
                <w:sz w:val="24"/>
                <w:vertAlign w:val="superscript"/>
                <w:lang w:eastAsia="en-US"/>
              </w:rPr>
              <w:t>#</w:t>
            </w:r>
            <w:r w:rsidRPr="0061693E">
              <w:rPr>
                <w:rFonts w:eastAsia="等线"/>
                <w:bCs/>
                <w:color w:val="000000"/>
                <w:kern w:val="0"/>
                <w:sz w:val="24"/>
                <w:lang w:eastAsia="en-US"/>
              </w:rPr>
              <w:t xml:space="preserve">, Lu, Z., Tong, M. H., </w:t>
            </w:r>
            <w:bookmarkStart w:id="27" w:name="_Hlk90945964"/>
            <w:r w:rsidRPr="0061693E">
              <w:rPr>
                <w:rFonts w:eastAsia="等线"/>
                <w:bCs/>
                <w:color w:val="000000"/>
                <w:kern w:val="0"/>
                <w:sz w:val="24"/>
                <w:lang w:eastAsia="en-US"/>
              </w:rPr>
              <w:t>Wu, K.</w:t>
            </w:r>
            <w:bookmarkEnd w:id="27"/>
            <w:r w:rsidRPr="0061693E">
              <w:rPr>
                <w:rFonts w:eastAsia="等线"/>
                <w:bCs/>
                <w:color w:val="000000"/>
                <w:kern w:val="0"/>
                <w:sz w:val="24"/>
                <w:lang w:eastAsia="en-US"/>
              </w:rPr>
              <w:t>, Kyeremeh, K., Jenner, M.*, Yu, Y.*, Cobb, S. L.*, Deng, H.*. Aminoacyl Chain</w:t>
            </w:r>
            <w:r w:rsidRPr="0061693E">
              <w:rPr>
                <w:rFonts w:eastAsia="等线" w:hint="eastAsia"/>
                <w:bCs/>
                <w:color w:val="000000"/>
                <w:kern w:val="0"/>
                <w:sz w:val="24"/>
              </w:rPr>
              <w:t xml:space="preserve"> </w:t>
            </w:r>
            <w:r w:rsidRPr="0061693E">
              <w:rPr>
                <w:rFonts w:eastAsia="等线"/>
                <w:bCs/>
                <w:color w:val="000000"/>
                <w:kern w:val="0"/>
                <w:sz w:val="24"/>
                <w:lang w:eastAsia="en-US"/>
              </w:rPr>
              <w:t xml:space="preserve">Translocation </w:t>
            </w:r>
            <w:proofErr w:type="spellStart"/>
            <w:r w:rsidRPr="0061693E">
              <w:rPr>
                <w:rFonts w:eastAsia="等线"/>
                <w:bCs/>
                <w:color w:val="000000"/>
                <w:kern w:val="0"/>
                <w:sz w:val="24"/>
                <w:lang w:eastAsia="en-US"/>
              </w:rPr>
              <w:t>Catalysed</w:t>
            </w:r>
            <w:proofErr w:type="spellEnd"/>
            <w:r w:rsidRPr="0061693E">
              <w:rPr>
                <w:rFonts w:eastAsia="等线"/>
                <w:bCs/>
                <w:color w:val="000000"/>
                <w:kern w:val="0"/>
                <w:sz w:val="24"/>
                <w:lang w:eastAsia="en-US"/>
              </w:rPr>
              <w:t xml:space="preserve"> by a Type II </w:t>
            </w:r>
            <w:proofErr w:type="spellStart"/>
            <w:r w:rsidRPr="0061693E">
              <w:rPr>
                <w:rFonts w:eastAsia="等线"/>
                <w:bCs/>
                <w:color w:val="000000"/>
                <w:kern w:val="0"/>
                <w:sz w:val="24"/>
                <w:lang w:eastAsia="en-US"/>
              </w:rPr>
              <w:t>Thioesterase</w:t>
            </w:r>
            <w:proofErr w:type="spellEnd"/>
            <w:r w:rsidRPr="0061693E">
              <w:rPr>
                <w:rFonts w:eastAsia="等线"/>
                <w:bCs/>
                <w:color w:val="000000"/>
                <w:kern w:val="0"/>
                <w:sz w:val="24"/>
                <w:lang w:eastAsia="en-US"/>
              </w:rPr>
              <w:t xml:space="preserve"> Domain in an Unusual Non-Ribosomal Peptide Synthetase</w:t>
            </w:r>
            <w:r w:rsidRPr="0061693E">
              <w:rPr>
                <w:rFonts w:eastAsia="等线"/>
                <w:bCs/>
                <w:i/>
                <w:iCs/>
                <w:color w:val="000000"/>
                <w:kern w:val="0"/>
                <w:sz w:val="24"/>
                <w:lang w:eastAsia="en-US"/>
              </w:rPr>
              <w:t xml:space="preserve">. </w:t>
            </w:r>
            <w:r w:rsidRPr="0061693E">
              <w:rPr>
                <w:rFonts w:eastAsia="等线"/>
                <w:b/>
                <w:bCs/>
                <w:i/>
                <w:iCs/>
                <w:color w:val="000000"/>
                <w:kern w:val="0"/>
                <w:sz w:val="24"/>
                <w:lang w:eastAsia="en-US"/>
              </w:rPr>
              <w:t>Nature Communications</w:t>
            </w:r>
            <w:r w:rsidRPr="0061693E">
              <w:rPr>
                <w:rFonts w:eastAsia="等线" w:hint="eastAsia"/>
                <w:color w:val="000000"/>
                <w:kern w:val="0"/>
                <w:sz w:val="24"/>
              </w:rPr>
              <w:t xml:space="preserve">, 2022, </w:t>
            </w:r>
            <w:r w:rsidRPr="0061693E">
              <w:rPr>
                <w:rFonts w:eastAsia="等线"/>
                <w:color w:val="000000"/>
                <w:kern w:val="0"/>
                <w:sz w:val="24"/>
              </w:rPr>
              <w:t>13(1), 62</w:t>
            </w:r>
            <w:r w:rsidRPr="0061693E">
              <w:rPr>
                <w:rFonts w:eastAsia="等线"/>
                <w:bCs/>
                <w:color w:val="000000"/>
                <w:kern w:val="0"/>
                <w:sz w:val="24"/>
                <w:lang w:eastAsia="en-US"/>
              </w:rPr>
              <w:t>.</w:t>
            </w:r>
          </w:p>
          <w:p w14:paraId="7AE125AD" w14:textId="430B462D" w:rsidR="0061693E" w:rsidRPr="0061693E" w:rsidRDefault="0061693E" w:rsidP="00040575">
            <w:pPr>
              <w:numPr>
                <w:ilvl w:val="0"/>
                <w:numId w:val="3"/>
              </w:numPr>
              <w:spacing w:line="400" w:lineRule="exact"/>
              <w:ind w:left="357" w:hanging="357"/>
              <w:rPr>
                <w:bCs/>
                <w:color w:val="000000"/>
                <w:kern w:val="0"/>
                <w:sz w:val="24"/>
                <w:lang w:eastAsia="en-US"/>
              </w:rPr>
            </w:pPr>
            <w:r w:rsidRPr="0061693E">
              <w:rPr>
                <w:b/>
                <w:color w:val="000000"/>
                <w:kern w:val="0"/>
                <w:sz w:val="24"/>
                <w:lang w:eastAsia="en-US"/>
              </w:rPr>
              <w:t>Wang, S.</w:t>
            </w:r>
            <w:r w:rsidRPr="0061693E">
              <w:rPr>
                <w:bCs/>
                <w:color w:val="000000"/>
                <w:kern w:val="0"/>
                <w:sz w:val="24"/>
                <w:vertAlign w:val="superscript"/>
                <w:lang w:eastAsia="en-US"/>
              </w:rPr>
              <w:t>#</w:t>
            </w:r>
            <w:r w:rsidRPr="0061693E">
              <w:rPr>
                <w:bCs/>
                <w:color w:val="000000"/>
                <w:kern w:val="0"/>
                <w:sz w:val="24"/>
                <w:lang w:eastAsia="en-US"/>
              </w:rPr>
              <w:t>, Sixing, L</w:t>
            </w:r>
            <w:r w:rsidRPr="0061693E">
              <w:rPr>
                <w:rFonts w:hint="eastAsia"/>
                <w:bCs/>
                <w:color w:val="000000"/>
                <w:kern w:val="0"/>
                <w:sz w:val="24"/>
              </w:rPr>
              <w:t>in</w:t>
            </w:r>
            <w:r w:rsidRPr="0061693E">
              <w:rPr>
                <w:bCs/>
                <w:color w:val="000000"/>
                <w:kern w:val="0"/>
                <w:sz w:val="24"/>
                <w:vertAlign w:val="superscript"/>
                <w:lang w:eastAsia="en-US"/>
              </w:rPr>
              <w:t>#</w:t>
            </w:r>
            <w:r w:rsidRPr="0061693E">
              <w:rPr>
                <w:bCs/>
                <w:color w:val="000000"/>
                <w:kern w:val="0"/>
                <w:sz w:val="24"/>
                <w:lang w:eastAsia="en-US"/>
              </w:rPr>
              <w:t>, Fang, Q., Roland G., Lu, Z., Gao</w:t>
            </w:r>
            <w:r w:rsidRPr="0061693E">
              <w:rPr>
                <w:rFonts w:hint="eastAsia"/>
                <w:bCs/>
                <w:color w:val="000000"/>
                <w:kern w:val="0"/>
                <w:sz w:val="24"/>
              </w:rPr>
              <w:t>,</w:t>
            </w:r>
            <w:r w:rsidRPr="0061693E">
              <w:rPr>
                <w:bCs/>
                <w:color w:val="000000"/>
                <w:kern w:val="0"/>
                <w:sz w:val="24"/>
                <w:lang w:eastAsia="en-US"/>
              </w:rPr>
              <w:t xml:space="preserve"> Y</w:t>
            </w:r>
            <w:r w:rsidRPr="0061693E">
              <w:rPr>
                <w:rFonts w:hint="eastAsia"/>
                <w:bCs/>
                <w:color w:val="000000"/>
                <w:kern w:val="0"/>
                <w:sz w:val="24"/>
              </w:rPr>
              <w:t>.</w:t>
            </w:r>
            <w:r w:rsidRPr="0061693E">
              <w:rPr>
                <w:bCs/>
                <w:color w:val="000000"/>
                <w:kern w:val="0"/>
                <w:sz w:val="24"/>
                <w:lang w:eastAsia="en-US"/>
              </w:rPr>
              <w:t>, Clarke</w:t>
            </w:r>
            <w:r w:rsidRPr="0061693E">
              <w:rPr>
                <w:rFonts w:hint="eastAsia"/>
                <w:bCs/>
                <w:color w:val="000000"/>
                <w:kern w:val="0"/>
                <w:sz w:val="24"/>
              </w:rPr>
              <w:t>,</w:t>
            </w:r>
            <w:r w:rsidRPr="0061693E">
              <w:rPr>
                <w:bCs/>
                <w:color w:val="000000"/>
                <w:kern w:val="0"/>
                <w:sz w:val="24"/>
                <w:lang w:eastAsia="en-US"/>
              </w:rPr>
              <w:t xml:space="preserve"> D</w:t>
            </w:r>
            <w:r w:rsidRPr="0061693E">
              <w:rPr>
                <w:rFonts w:hint="eastAsia"/>
                <w:bCs/>
                <w:color w:val="000000"/>
                <w:kern w:val="0"/>
                <w:sz w:val="24"/>
              </w:rPr>
              <w:t>.</w:t>
            </w:r>
            <w:r w:rsidRPr="0061693E">
              <w:rPr>
                <w:bCs/>
                <w:color w:val="000000"/>
                <w:kern w:val="0"/>
                <w:sz w:val="24"/>
                <w:lang w:eastAsia="en-US"/>
              </w:rPr>
              <w:t xml:space="preserve"> J., Wu</w:t>
            </w:r>
            <w:r w:rsidRPr="0061693E">
              <w:rPr>
                <w:rFonts w:hint="eastAsia"/>
                <w:bCs/>
                <w:color w:val="000000"/>
                <w:kern w:val="0"/>
                <w:sz w:val="24"/>
              </w:rPr>
              <w:t>,</w:t>
            </w:r>
            <w:r w:rsidRPr="0061693E">
              <w:rPr>
                <w:bCs/>
                <w:color w:val="000000"/>
                <w:kern w:val="0"/>
                <w:sz w:val="24"/>
                <w:lang w:eastAsia="en-US"/>
              </w:rPr>
              <w:t xml:space="preserve"> K</w:t>
            </w:r>
            <w:r w:rsidRPr="0061693E">
              <w:rPr>
                <w:rFonts w:hint="eastAsia"/>
                <w:bCs/>
                <w:color w:val="000000"/>
                <w:kern w:val="0"/>
                <w:sz w:val="24"/>
              </w:rPr>
              <w:t>.</w:t>
            </w:r>
            <w:r w:rsidRPr="0061693E">
              <w:rPr>
                <w:bCs/>
                <w:color w:val="000000"/>
                <w:kern w:val="0"/>
                <w:sz w:val="24"/>
                <w:lang w:eastAsia="en-US"/>
              </w:rPr>
              <w:t xml:space="preserve">, </w:t>
            </w:r>
            <w:proofErr w:type="spellStart"/>
            <w:r w:rsidRPr="0061693E">
              <w:rPr>
                <w:bCs/>
                <w:color w:val="000000"/>
                <w:kern w:val="0"/>
                <w:sz w:val="24"/>
                <w:lang w:eastAsia="en-US"/>
              </w:rPr>
              <w:t>Trembleau</w:t>
            </w:r>
            <w:proofErr w:type="spellEnd"/>
            <w:r w:rsidRPr="0061693E">
              <w:rPr>
                <w:rFonts w:hint="eastAsia"/>
                <w:bCs/>
                <w:color w:val="000000"/>
                <w:kern w:val="0"/>
                <w:sz w:val="24"/>
              </w:rPr>
              <w:t>,</w:t>
            </w:r>
            <w:r w:rsidRPr="0061693E">
              <w:rPr>
                <w:bCs/>
                <w:color w:val="000000"/>
                <w:kern w:val="0"/>
                <w:sz w:val="24"/>
                <w:lang w:eastAsia="en-US"/>
              </w:rPr>
              <w:t xml:space="preserve"> L</w:t>
            </w:r>
            <w:r w:rsidRPr="0061693E">
              <w:rPr>
                <w:rFonts w:hint="eastAsia"/>
                <w:bCs/>
                <w:color w:val="000000"/>
                <w:kern w:val="0"/>
                <w:sz w:val="24"/>
              </w:rPr>
              <w:t>.</w:t>
            </w:r>
            <w:r w:rsidRPr="0061693E">
              <w:rPr>
                <w:bCs/>
                <w:color w:val="000000"/>
                <w:kern w:val="0"/>
                <w:sz w:val="24"/>
                <w:lang w:eastAsia="en-US"/>
              </w:rPr>
              <w:t>, Yu</w:t>
            </w:r>
            <w:r w:rsidRPr="0061693E">
              <w:rPr>
                <w:rFonts w:hint="eastAsia"/>
                <w:bCs/>
                <w:color w:val="000000"/>
                <w:kern w:val="0"/>
                <w:sz w:val="24"/>
              </w:rPr>
              <w:t>,</w:t>
            </w:r>
            <w:r w:rsidRPr="0061693E">
              <w:rPr>
                <w:bCs/>
                <w:color w:val="000000"/>
                <w:kern w:val="0"/>
                <w:sz w:val="24"/>
                <w:lang w:eastAsia="en-US"/>
              </w:rPr>
              <w:t xml:space="preserve"> Y</w:t>
            </w:r>
            <w:r w:rsidRPr="0061693E">
              <w:rPr>
                <w:rFonts w:hint="eastAsia"/>
                <w:bCs/>
                <w:color w:val="000000"/>
                <w:kern w:val="0"/>
                <w:sz w:val="24"/>
              </w:rPr>
              <w:t xml:space="preserve">., </w:t>
            </w:r>
            <w:proofErr w:type="spellStart"/>
            <w:r w:rsidRPr="0061693E">
              <w:rPr>
                <w:bCs/>
                <w:color w:val="000000"/>
                <w:kern w:val="0"/>
                <w:sz w:val="24"/>
                <w:lang w:eastAsia="en-US"/>
              </w:rPr>
              <w:t>Kyeremeh</w:t>
            </w:r>
            <w:proofErr w:type="spellEnd"/>
            <w:r w:rsidRPr="0061693E">
              <w:rPr>
                <w:rFonts w:hint="eastAsia"/>
                <w:bCs/>
                <w:color w:val="000000"/>
                <w:kern w:val="0"/>
                <w:sz w:val="24"/>
              </w:rPr>
              <w:t>,</w:t>
            </w:r>
            <w:r w:rsidRPr="0061693E">
              <w:rPr>
                <w:bCs/>
                <w:color w:val="000000"/>
                <w:kern w:val="0"/>
                <w:sz w:val="24"/>
                <w:lang w:eastAsia="en-US"/>
              </w:rPr>
              <w:t xml:space="preserve"> K</w:t>
            </w:r>
            <w:r w:rsidRPr="0061693E">
              <w:rPr>
                <w:rFonts w:hint="eastAsia"/>
                <w:bCs/>
                <w:color w:val="000000"/>
                <w:kern w:val="0"/>
                <w:sz w:val="24"/>
              </w:rPr>
              <w:t>.</w:t>
            </w:r>
            <w:r w:rsidRPr="0061693E">
              <w:rPr>
                <w:bCs/>
                <w:color w:val="000000"/>
                <w:kern w:val="0"/>
                <w:sz w:val="24"/>
                <w:lang w:eastAsia="en-US"/>
              </w:rPr>
              <w:t>, Milne</w:t>
            </w:r>
            <w:r w:rsidRPr="0061693E">
              <w:rPr>
                <w:rFonts w:hint="eastAsia"/>
                <w:bCs/>
                <w:color w:val="000000"/>
                <w:kern w:val="0"/>
                <w:sz w:val="24"/>
              </w:rPr>
              <w:t>,</w:t>
            </w:r>
            <w:r w:rsidRPr="0061693E">
              <w:rPr>
                <w:bCs/>
                <w:color w:val="000000"/>
                <w:kern w:val="0"/>
                <w:sz w:val="24"/>
                <w:lang w:eastAsia="en-US"/>
              </w:rPr>
              <w:t xml:space="preserve"> B</w:t>
            </w:r>
            <w:r w:rsidRPr="0061693E">
              <w:rPr>
                <w:rFonts w:hint="eastAsia"/>
                <w:bCs/>
                <w:color w:val="000000"/>
                <w:kern w:val="0"/>
                <w:sz w:val="24"/>
              </w:rPr>
              <w:t>.</w:t>
            </w:r>
            <w:r w:rsidRPr="0061693E">
              <w:rPr>
                <w:bCs/>
                <w:color w:val="000000"/>
                <w:kern w:val="0"/>
                <w:sz w:val="24"/>
                <w:lang w:eastAsia="en-US"/>
              </w:rPr>
              <w:t xml:space="preserve"> F., </w:t>
            </w:r>
            <w:proofErr w:type="spellStart"/>
            <w:r w:rsidRPr="0061693E">
              <w:rPr>
                <w:bCs/>
                <w:color w:val="000000"/>
                <w:kern w:val="0"/>
                <w:sz w:val="24"/>
                <w:lang w:eastAsia="en-US"/>
              </w:rPr>
              <w:t>Tabudravu</w:t>
            </w:r>
            <w:proofErr w:type="spellEnd"/>
            <w:r w:rsidRPr="0061693E">
              <w:rPr>
                <w:rFonts w:hint="eastAsia"/>
                <w:bCs/>
                <w:color w:val="000000"/>
                <w:kern w:val="0"/>
                <w:sz w:val="24"/>
              </w:rPr>
              <w:t>,</w:t>
            </w:r>
            <w:r w:rsidRPr="0061693E">
              <w:rPr>
                <w:bCs/>
                <w:color w:val="000000"/>
                <w:kern w:val="0"/>
                <w:sz w:val="24"/>
                <w:lang w:eastAsia="en-US"/>
              </w:rPr>
              <w:t xml:space="preserve"> J</w:t>
            </w:r>
            <w:r w:rsidRPr="0061693E">
              <w:rPr>
                <w:rFonts w:hint="eastAsia"/>
                <w:bCs/>
                <w:color w:val="000000"/>
                <w:kern w:val="0"/>
                <w:sz w:val="24"/>
              </w:rPr>
              <w:t xml:space="preserve">., </w:t>
            </w:r>
            <w:r w:rsidRPr="0061693E">
              <w:rPr>
                <w:bCs/>
                <w:color w:val="000000"/>
                <w:kern w:val="0"/>
                <w:sz w:val="24"/>
                <w:lang w:eastAsia="en-US"/>
              </w:rPr>
              <w:t xml:space="preserve">Deng, H.*. Structure and biosynthetic investigation of a </w:t>
            </w:r>
            <w:proofErr w:type="spellStart"/>
            <w:r w:rsidRPr="0061693E">
              <w:rPr>
                <w:bCs/>
                <w:color w:val="000000"/>
                <w:kern w:val="0"/>
                <w:sz w:val="24"/>
                <w:lang w:eastAsia="en-US"/>
              </w:rPr>
              <w:t>ribosomally</w:t>
            </w:r>
            <w:proofErr w:type="spellEnd"/>
            <w:r w:rsidRPr="0061693E">
              <w:rPr>
                <w:bCs/>
                <w:color w:val="000000"/>
                <w:kern w:val="0"/>
                <w:sz w:val="24"/>
                <w:lang w:eastAsia="en-US"/>
              </w:rPr>
              <w:t xml:space="preserve"> synthesized and post-translationally modified peptide containing a β-enamino acid and a macrocyclic motif. </w:t>
            </w:r>
            <w:r w:rsidRPr="0061693E">
              <w:rPr>
                <w:b/>
                <w:i/>
                <w:iCs/>
                <w:color w:val="000000"/>
                <w:kern w:val="0"/>
                <w:sz w:val="24"/>
                <w:lang w:eastAsia="en-US"/>
              </w:rPr>
              <w:t>Nature Communications</w:t>
            </w:r>
            <w:r w:rsidRPr="0061693E">
              <w:rPr>
                <w:bCs/>
                <w:color w:val="000000"/>
                <w:kern w:val="0"/>
                <w:sz w:val="24"/>
                <w:lang w:eastAsia="en-US"/>
              </w:rPr>
              <w:t xml:space="preserve">, </w:t>
            </w:r>
            <w:r w:rsidRPr="0061693E">
              <w:rPr>
                <w:rFonts w:hint="eastAsia"/>
                <w:bCs/>
                <w:color w:val="000000"/>
                <w:kern w:val="0"/>
                <w:sz w:val="24"/>
              </w:rPr>
              <w:t xml:space="preserve">2022, </w:t>
            </w:r>
            <w:r w:rsidRPr="0061693E">
              <w:rPr>
                <w:bCs/>
                <w:color w:val="000000"/>
                <w:kern w:val="0"/>
                <w:sz w:val="24"/>
                <w:lang w:eastAsia="en-US"/>
              </w:rPr>
              <w:t>13(1), 5044.</w:t>
            </w:r>
          </w:p>
          <w:p w14:paraId="2A6F4D6B" w14:textId="192D850F" w:rsidR="0061693E" w:rsidRPr="0061693E" w:rsidRDefault="0061693E" w:rsidP="00040575">
            <w:pPr>
              <w:widowControl/>
              <w:numPr>
                <w:ilvl w:val="0"/>
                <w:numId w:val="3"/>
              </w:numPr>
              <w:spacing w:beforeLines="50" w:before="156" w:line="400" w:lineRule="exact"/>
              <w:contextualSpacing/>
              <w:outlineLvl w:val="2"/>
              <w:rPr>
                <w:bCs/>
                <w:color w:val="000000"/>
                <w:kern w:val="0"/>
                <w:sz w:val="24"/>
                <w:lang w:eastAsia="en-US"/>
              </w:rPr>
            </w:pPr>
            <w:r w:rsidRPr="0061693E">
              <w:rPr>
                <w:b/>
                <w:bCs/>
                <w:color w:val="000000"/>
                <w:kern w:val="0"/>
                <w:sz w:val="24"/>
                <w:lang w:eastAsia="en-US"/>
              </w:rPr>
              <w:t>Wang, S.</w:t>
            </w:r>
            <w:r w:rsidRPr="0061693E">
              <w:rPr>
                <w:b/>
                <w:bCs/>
                <w:color w:val="000000"/>
                <w:kern w:val="0"/>
                <w:sz w:val="24"/>
                <w:vertAlign w:val="superscript"/>
                <w:lang w:eastAsia="en-US"/>
              </w:rPr>
              <w:t xml:space="preserve">#, </w:t>
            </w:r>
            <w:r w:rsidRPr="0061693E">
              <w:rPr>
                <w:b/>
                <w:bCs/>
                <w:color w:val="000000"/>
                <w:kern w:val="0"/>
                <w:sz w:val="24"/>
                <w:lang w:eastAsia="en-US"/>
              </w:rPr>
              <w:t>*</w:t>
            </w:r>
            <w:r w:rsidRPr="0061693E">
              <w:rPr>
                <w:bCs/>
                <w:color w:val="000000"/>
                <w:kern w:val="0"/>
                <w:sz w:val="24"/>
                <w:lang w:eastAsia="en-US"/>
              </w:rPr>
              <w:t>, Fang, Q.</w:t>
            </w:r>
            <w:r w:rsidRPr="0061693E">
              <w:rPr>
                <w:bCs/>
                <w:color w:val="000000"/>
                <w:kern w:val="0"/>
                <w:sz w:val="24"/>
                <w:vertAlign w:val="superscript"/>
                <w:lang w:eastAsia="en-US"/>
              </w:rPr>
              <w:t>#</w:t>
            </w:r>
            <w:r w:rsidRPr="0061693E">
              <w:rPr>
                <w:bCs/>
                <w:color w:val="000000"/>
                <w:kern w:val="0"/>
                <w:sz w:val="24"/>
                <w:lang w:eastAsia="en-US"/>
              </w:rPr>
              <w:t xml:space="preserve">, Lu, Z., </w:t>
            </w:r>
            <w:bookmarkStart w:id="28" w:name="_Hlk90945899"/>
            <w:r w:rsidRPr="0061693E">
              <w:rPr>
                <w:bCs/>
                <w:color w:val="000000"/>
                <w:kern w:val="0"/>
                <w:sz w:val="24"/>
                <w:lang w:eastAsia="en-US"/>
              </w:rPr>
              <w:t>Gao, Y.</w:t>
            </w:r>
            <w:bookmarkEnd w:id="28"/>
            <w:r w:rsidRPr="0061693E">
              <w:rPr>
                <w:bCs/>
                <w:color w:val="000000"/>
                <w:kern w:val="0"/>
                <w:sz w:val="24"/>
                <w:lang w:eastAsia="en-US"/>
              </w:rPr>
              <w:t xml:space="preserve">, </w:t>
            </w:r>
            <w:proofErr w:type="spellStart"/>
            <w:r w:rsidRPr="0061693E">
              <w:rPr>
                <w:bCs/>
                <w:color w:val="000000"/>
                <w:kern w:val="0"/>
                <w:sz w:val="24"/>
                <w:lang w:eastAsia="en-US"/>
              </w:rPr>
              <w:t>Trembleau</w:t>
            </w:r>
            <w:proofErr w:type="spellEnd"/>
            <w:r w:rsidRPr="0061693E">
              <w:rPr>
                <w:bCs/>
                <w:color w:val="000000"/>
                <w:kern w:val="0"/>
                <w:sz w:val="24"/>
                <w:lang w:eastAsia="en-US"/>
              </w:rPr>
              <w:t xml:space="preserve">, L., Ebel, R., Andersen, J. H., Philips, C., Law, S., Deng, H.*. Discovery and biosynthetic investigation of a new antibacterial dehydrated non-ribosomal tripeptide. </w:t>
            </w:r>
            <w:proofErr w:type="spellStart"/>
            <w:r w:rsidRPr="0061693E">
              <w:rPr>
                <w:b/>
                <w:bCs/>
                <w:i/>
                <w:iCs/>
                <w:color w:val="000000"/>
                <w:kern w:val="0"/>
                <w:sz w:val="24"/>
                <w:lang w:eastAsia="en-US"/>
              </w:rPr>
              <w:t>Angewandte</w:t>
            </w:r>
            <w:proofErr w:type="spellEnd"/>
            <w:r w:rsidRPr="0061693E">
              <w:rPr>
                <w:b/>
                <w:bCs/>
                <w:i/>
                <w:iCs/>
                <w:color w:val="000000"/>
                <w:kern w:val="0"/>
                <w:sz w:val="24"/>
                <w:lang w:eastAsia="en-US"/>
              </w:rPr>
              <w:t xml:space="preserve"> Chemie International Edition</w:t>
            </w:r>
            <w:r w:rsidRPr="0061693E">
              <w:rPr>
                <w:bCs/>
                <w:color w:val="000000"/>
                <w:kern w:val="0"/>
                <w:sz w:val="24"/>
                <w:lang w:eastAsia="en-US"/>
              </w:rPr>
              <w:t xml:space="preserve">, </w:t>
            </w:r>
            <w:r w:rsidRPr="0061693E">
              <w:rPr>
                <w:rFonts w:hint="eastAsia"/>
                <w:bCs/>
                <w:color w:val="000000"/>
                <w:kern w:val="0"/>
                <w:sz w:val="24"/>
              </w:rPr>
              <w:t xml:space="preserve">2021, </w:t>
            </w:r>
            <w:r w:rsidRPr="0061693E">
              <w:rPr>
                <w:bCs/>
                <w:color w:val="000000"/>
                <w:kern w:val="0"/>
                <w:sz w:val="24"/>
                <w:lang w:eastAsia="en-US"/>
              </w:rPr>
              <w:t>60(6), 3229-3237.</w:t>
            </w:r>
          </w:p>
          <w:p w14:paraId="77146DD9" w14:textId="73477307" w:rsidR="000036DE" w:rsidRPr="000036DE" w:rsidRDefault="000036DE" w:rsidP="00040575">
            <w:pPr>
              <w:widowControl/>
              <w:numPr>
                <w:ilvl w:val="0"/>
                <w:numId w:val="3"/>
              </w:numPr>
              <w:spacing w:line="400" w:lineRule="exact"/>
              <w:ind w:left="357" w:hanging="357"/>
              <w:outlineLvl w:val="2"/>
              <w:rPr>
                <w:bCs/>
                <w:color w:val="000000"/>
                <w:kern w:val="0"/>
                <w:sz w:val="24"/>
                <w:lang w:eastAsia="en-US"/>
              </w:rPr>
            </w:pPr>
            <w:r w:rsidRPr="00040575">
              <w:rPr>
                <w:b/>
                <w:bCs/>
                <w:noProof/>
                <w:color w:val="000000"/>
                <w:sz w:val="24"/>
              </w:rPr>
              <w:t>Wang, S.</w:t>
            </w:r>
            <w:r w:rsidRPr="000036DE">
              <w:rPr>
                <w:rFonts w:hint="eastAsia"/>
                <w:noProof/>
                <w:color w:val="000000"/>
                <w:sz w:val="24"/>
              </w:rPr>
              <w:t>,</w:t>
            </w:r>
            <w:r w:rsidRPr="000036DE">
              <w:rPr>
                <w:noProof/>
                <w:color w:val="000000"/>
                <w:sz w:val="24"/>
              </w:rPr>
              <w:t xml:space="preserve"> Liu, K., Xiao, L., Yang, L., Li, H., Zhang, F., Lei, L., Li, S., Feng, Xu., Li, A., He, J.*. Characterization of a novel DNA glycosylase from </w:t>
            </w:r>
            <w:r w:rsidRPr="000036DE">
              <w:rPr>
                <w:i/>
                <w:iCs/>
                <w:noProof/>
                <w:color w:val="000000"/>
                <w:sz w:val="24"/>
              </w:rPr>
              <w:t>S. sahachiroi</w:t>
            </w:r>
            <w:r w:rsidRPr="000036DE">
              <w:rPr>
                <w:noProof/>
                <w:color w:val="000000"/>
                <w:sz w:val="24"/>
              </w:rPr>
              <w:t xml:space="preserve"> involved in the reduction and repair of azinomycin B induced DNA damage.</w:t>
            </w:r>
            <w:r w:rsidRPr="000036DE">
              <w:rPr>
                <w:rFonts w:hint="eastAsia"/>
                <w:noProof/>
                <w:color w:val="000000"/>
                <w:sz w:val="24"/>
              </w:rPr>
              <w:t xml:space="preserve"> </w:t>
            </w:r>
            <w:r w:rsidRPr="00BB24A6">
              <w:rPr>
                <w:b/>
                <w:bCs/>
                <w:i/>
                <w:iCs/>
                <w:noProof/>
                <w:color w:val="000000"/>
                <w:sz w:val="24"/>
              </w:rPr>
              <w:t>Nucleic acids research</w:t>
            </w:r>
            <w:r w:rsidRPr="000036DE">
              <w:rPr>
                <w:noProof/>
                <w:color w:val="000000"/>
                <w:sz w:val="24"/>
              </w:rPr>
              <w:t xml:space="preserve">, </w:t>
            </w:r>
            <w:r w:rsidRPr="000036DE">
              <w:rPr>
                <w:rFonts w:hint="eastAsia"/>
                <w:noProof/>
                <w:color w:val="000000"/>
                <w:sz w:val="24"/>
              </w:rPr>
              <w:t xml:space="preserve">2016, </w:t>
            </w:r>
            <w:r w:rsidRPr="000036DE">
              <w:rPr>
                <w:noProof/>
                <w:color w:val="000000"/>
                <w:sz w:val="24"/>
              </w:rPr>
              <w:t>44(1), 187-197.</w:t>
            </w:r>
          </w:p>
          <w:p w14:paraId="65C70F59" w14:textId="7320B360" w:rsidR="000036DE" w:rsidRPr="00834DD4" w:rsidRDefault="000036DE" w:rsidP="00040575">
            <w:pPr>
              <w:pStyle w:val="a9"/>
              <w:widowControl/>
              <w:numPr>
                <w:ilvl w:val="0"/>
                <w:numId w:val="3"/>
              </w:numPr>
              <w:spacing w:line="400" w:lineRule="exact"/>
              <w:ind w:firstLineChars="0"/>
              <w:contextualSpacing/>
              <w:rPr>
                <w:sz w:val="24"/>
              </w:rPr>
            </w:pPr>
            <w:r w:rsidRPr="00834DD4">
              <w:rPr>
                <w:b/>
                <w:bCs/>
                <w:sz w:val="24"/>
              </w:rPr>
              <w:t>Wang, S.</w:t>
            </w:r>
            <w:r w:rsidRPr="00834DD4">
              <w:rPr>
                <w:sz w:val="24"/>
                <w:vertAlign w:val="superscript"/>
              </w:rPr>
              <w:t xml:space="preserve">#, </w:t>
            </w:r>
            <w:r w:rsidRPr="00834DD4">
              <w:rPr>
                <w:sz w:val="24"/>
              </w:rPr>
              <w:t>*</w:t>
            </w:r>
            <w:r w:rsidRPr="00834DD4">
              <w:rPr>
                <w:rFonts w:hint="eastAsia"/>
                <w:sz w:val="24"/>
              </w:rPr>
              <w:t>,</w:t>
            </w:r>
            <w:r w:rsidRPr="00834DD4">
              <w:rPr>
                <w:sz w:val="24"/>
              </w:rPr>
              <w:t xml:space="preserve"> </w:t>
            </w:r>
            <w:proofErr w:type="spellStart"/>
            <w:r w:rsidRPr="00834DD4">
              <w:rPr>
                <w:sz w:val="24"/>
              </w:rPr>
              <w:t>Maglangit</w:t>
            </w:r>
            <w:proofErr w:type="spellEnd"/>
            <w:r w:rsidRPr="00834DD4">
              <w:rPr>
                <w:sz w:val="24"/>
              </w:rPr>
              <w:t xml:space="preserve">, F., Fang, Q., </w:t>
            </w:r>
            <w:proofErr w:type="spellStart"/>
            <w:r w:rsidRPr="00834DD4">
              <w:rPr>
                <w:sz w:val="24"/>
              </w:rPr>
              <w:t>Kyeremeh</w:t>
            </w:r>
            <w:proofErr w:type="spellEnd"/>
            <w:r w:rsidRPr="00834DD4">
              <w:rPr>
                <w:sz w:val="24"/>
              </w:rPr>
              <w:t>, K., Deng, H.*. Characterization of the Baeyer</w:t>
            </w:r>
            <w:r w:rsidR="00834DD4">
              <w:rPr>
                <w:rFonts w:hint="eastAsia"/>
                <w:sz w:val="24"/>
              </w:rPr>
              <w:t>-</w:t>
            </w:r>
            <w:r w:rsidRPr="00834DD4">
              <w:rPr>
                <w:sz w:val="24"/>
              </w:rPr>
              <w:t xml:space="preserve">Villiger monooxygenase in the pathway of the bacterial pyrrolizidine alkaloids, </w:t>
            </w:r>
            <w:proofErr w:type="spellStart"/>
            <w:r w:rsidRPr="00834DD4">
              <w:rPr>
                <w:sz w:val="24"/>
              </w:rPr>
              <w:t>legonmycins</w:t>
            </w:r>
            <w:proofErr w:type="spellEnd"/>
            <w:r w:rsidRPr="00834DD4">
              <w:rPr>
                <w:sz w:val="24"/>
              </w:rPr>
              <w:t xml:space="preserve">. </w:t>
            </w:r>
            <w:r w:rsidRPr="00834DD4">
              <w:rPr>
                <w:b/>
                <w:bCs/>
                <w:i/>
                <w:iCs/>
                <w:sz w:val="24"/>
              </w:rPr>
              <w:t>RSC Chem. Biol.</w:t>
            </w:r>
            <w:r w:rsidRPr="00834DD4">
              <w:rPr>
                <w:sz w:val="24"/>
              </w:rPr>
              <w:t xml:space="preserve">, </w:t>
            </w:r>
            <w:r w:rsidRPr="00834DD4">
              <w:rPr>
                <w:rFonts w:hint="eastAsia"/>
                <w:sz w:val="24"/>
              </w:rPr>
              <w:t xml:space="preserve">2024, </w:t>
            </w:r>
            <w:r w:rsidRPr="00834DD4">
              <w:rPr>
                <w:sz w:val="24"/>
              </w:rPr>
              <w:t>5, 1177–1185.</w:t>
            </w:r>
          </w:p>
          <w:p w14:paraId="20A4AA5E" w14:textId="16ECDD3D" w:rsidR="000036DE" w:rsidRPr="00D757B8" w:rsidRDefault="000036DE" w:rsidP="00040575">
            <w:pPr>
              <w:widowControl/>
              <w:numPr>
                <w:ilvl w:val="0"/>
                <w:numId w:val="3"/>
              </w:numPr>
              <w:spacing w:line="400" w:lineRule="exact"/>
              <w:contextualSpacing/>
              <w:rPr>
                <w:kern w:val="0"/>
                <w:sz w:val="24"/>
                <w:lang w:eastAsia="en-GB"/>
              </w:rPr>
            </w:pPr>
            <w:r w:rsidRPr="008E0088">
              <w:rPr>
                <w:b/>
                <w:bCs/>
                <w:kern w:val="0"/>
                <w:sz w:val="24"/>
                <w:lang w:eastAsia="en-GB"/>
              </w:rPr>
              <w:t>Wang, S.*</w:t>
            </w:r>
            <w:r w:rsidRPr="008E0088">
              <w:rPr>
                <w:kern w:val="0"/>
                <w:sz w:val="24"/>
                <w:lang w:eastAsia="en-GB"/>
              </w:rPr>
              <w:t xml:space="preserve">, Deng, H.*. Peculiarities of promiscuous </w:t>
            </w:r>
            <w:r w:rsidRPr="008E0088">
              <w:rPr>
                <w:kern w:val="0"/>
                <w:sz w:val="24"/>
              </w:rPr>
              <w:t>L</w:t>
            </w:r>
            <w:r w:rsidRPr="008E0088">
              <w:rPr>
                <w:kern w:val="0"/>
                <w:sz w:val="24"/>
                <w:lang w:eastAsia="en-GB"/>
              </w:rPr>
              <w:t xml:space="preserve">-threonine </w:t>
            </w:r>
            <w:proofErr w:type="spellStart"/>
            <w:r w:rsidRPr="008E0088">
              <w:rPr>
                <w:kern w:val="0"/>
                <w:sz w:val="24"/>
                <w:lang w:eastAsia="en-GB"/>
              </w:rPr>
              <w:t>transaldolases</w:t>
            </w:r>
            <w:proofErr w:type="spellEnd"/>
            <w:r w:rsidRPr="008E0088">
              <w:rPr>
                <w:kern w:val="0"/>
                <w:sz w:val="24"/>
                <w:lang w:eastAsia="en-GB"/>
              </w:rPr>
              <w:t xml:space="preserve"> for enantioselective synthesis of β-hydroxy-α-amino acids. </w:t>
            </w:r>
            <w:r w:rsidRPr="008E0088">
              <w:rPr>
                <w:b/>
                <w:bCs/>
                <w:i/>
                <w:iCs/>
                <w:kern w:val="0"/>
                <w:sz w:val="24"/>
                <w:lang w:eastAsia="en-GB"/>
              </w:rPr>
              <w:t>Applied Microbiology and Biotechnology</w:t>
            </w:r>
            <w:r w:rsidRPr="008E0088">
              <w:rPr>
                <w:kern w:val="0"/>
                <w:sz w:val="24"/>
                <w:lang w:eastAsia="en-GB"/>
              </w:rPr>
              <w:t xml:space="preserve">, </w:t>
            </w:r>
            <w:r>
              <w:rPr>
                <w:rFonts w:hint="eastAsia"/>
                <w:kern w:val="0"/>
                <w:sz w:val="24"/>
              </w:rPr>
              <w:t xml:space="preserve">2021, </w:t>
            </w:r>
            <w:r w:rsidRPr="008E0088">
              <w:rPr>
                <w:kern w:val="0"/>
                <w:sz w:val="24"/>
                <w:lang w:eastAsia="en-GB"/>
              </w:rPr>
              <w:t>1-14.</w:t>
            </w:r>
          </w:p>
          <w:p w14:paraId="6828943D" w14:textId="2B5DB118" w:rsidR="000036DE" w:rsidRPr="002804E7" w:rsidRDefault="000036DE" w:rsidP="00040575">
            <w:pPr>
              <w:pStyle w:val="3"/>
              <w:numPr>
                <w:ilvl w:val="0"/>
                <w:numId w:val="3"/>
              </w:numPr>
              <w:spacing w:before="0" w:after="0" w:line="400" w:lineRule="exact"/>
              <w:ind w:left="357" w:hanging="357"/>
              <w:jc w:val="both"/>
              <w:rPr>
                <w:noProof/>
                <w:color w:val="000000"/>
                <w:sz w:val="24"/>
                <w:lang w:val="en-US"/>
              </w:rPr>
            </w:pPr>
            <w:r w:rsidRPr="002804E7">
              <w:rPr>
                <w:b w:val="0"/>
                <w:bCs w:val="0"/>
                <w:noProof/>
                <w:color w:val="000000"/>
                <w:sz w:val="24"/>
                <w:lang w:val="en-US"/>
              </w:rPr>
              <w:t xml:space="preserve">Chen, X., Sun, Y., </w:t>
            </w:r>
            <w:r w:rsidRPr="002804E7">
              <w:rPr>
                <w:noProof/>
                <w:color w:val="000000"/>
                <w:sz w:val="24"/>
                <w:lang w:val="en-US"/>
              </w:rPr>
              <w:t>Wang, S.</w:t>
            </w:r>
            <w:r w:rsidRPr="002804E7">
              <w:rPr>
                <w:b w:val="0"/>
                <w:bCs w:val="0"/>
                <w:noProof/>
                <w:color w:val="000000"/>
                <w:sz w:val="24"/>
                <w:lang w:val="en-US"/>
              </w:rPr>
              <w:t xml:space="preserve">, Ying, K., Xiao, L., Liu, K., </w:t>
            </w:r>
            <w:bookmarkStart w:id="29" w:name="_Hlk33957466"/>
            <w:r w:rsidRPr="002804E7">
              <w:rPr>
                <w:b w:val="0"/>
                <w:bCs w:val="0"/>
                <w:noProof/>
                <w:color w:val="000000"/>
                <w:sz w:val="24"/>
                <w:lang w:val="en-US"/>
              </w:rPr>
              <w:t>Zuo, X., He, J.*</w:t>
            </w:r>
            <w:bookmarkEnd w:id="29"/>
            <w:r w:rsidRPr="002804E7">
              <w:rPr>
                <w:b w:val="0"/>
                <w:bCs w:val="0"/>
                <w:noProof/>
                <w:color w:val="000000"/>
                <w:sz w:val="24"/>
                <w:lang w:val="en-US"/>
              </w:rPr>
              <w:t xml:space="preserve">. Identification of </w:t>
            </w:r>
            <w:r w:rsidRPr="002804E7">
              <w:rPr>
                <w:b w:val="0"/>
                <w:bCs w:val="0"/>
                <w:noProof/>
                <w:color w:val="000000"/>
                <w:sz w:val="24"/>
                <w:lang w:val="en-US"/>
              </w:rPr>
              <w:lastRenderedPageBreak/>
              <w:t>a novel structure-specific endonuclease AziN that contributes to the repair of azinomycin B-mediated DNA interstrand crosslinks.</w:t>
            </w:r>
            <w:r>
              <w:rPr>
                <w:b w:val="0"/>
                <w:bCs w:val="0"/>
                <w:noProof/>
                <w:color w:val="000000"/>
                <w:sz w:val="24"/>
                <w:lang w:val="en-US"/>
              </w:rPr>
              <w:t xml:space="preserve"> </w:t>
            </w:r>
            <w:r w:rsidRPr="002804E7">
              <w:rPr>
                <w:i/>
                <w:iCs/>
                <w:noProof/>
                <w:color w:val="000000"/>
                <w:sz w:val="24"/>
                <w:lang w:val="en-US"/>
              </w:rPr>
              <w:t>Nucleic acids research</w:t>
            </w:r>
            <w:r>
              <w:rPr>
                <w:b w:val="0"/>
                <w:bCs w:val="0"/>
                <w:noProof/>
                <w:color w:val="000000"/>
                <w:sz w:val="24"/>
                <w:lang w:val="en-US"/>
              </w:rPr>
              <w:t>,</w:t>
            </w:r>
            <w:r>
              <w:rPr>
                <w:rFonts w:hint="eastAsia"/>
                <w:b w:val="0"/>
                <w:bCs w:val="0"/>
                <w:noProof/>
                <w:color w:val="000000"/>
                <w:sz w:val="24"/>
                <w:lang w:val="en-US" w:eastAsia="zh-CN"/>
              </w:rPr>
              <w:t xml:space="preserve"> 2022, </w:t>
            </w:r>
            <w:r w:rsidRPr="002804E7">
              <w:rPr>
                <w:b w:val="0"/>
                <w:bCs w:val="0"/>
                <w:noProof/>
                <w:color w:val="000000"/>
                <w:sz w:val="24"/>
                <w:lang w:val="en-US"/>
              </w:rPr>
              <w:t>48(2), 709-718.</w:t>
            </w:r>
          </w:p>
          <w:p w14:paraId="77CBDBEC" w14:textId="27E8A6C3" w:rsidR="000036DE" w:rsidRPr="000D4F7D" w:rsidRDefault="000036DE" w:rsidP="00040575">
            <w:pPr>
              <w:widowControl/>
              <w:numPr>
                <w:ilvl w:val="0"/>
                <w:numId w:val="3"/>
              </w:numPr>
              <w:spacing w:line="400" w:lineRule="exact"/>
              <w:contextualSpacing/>
              <w:rPr>
                <w:kern w:val="0"/>
                <w:sz w:val="24"/>
                <w:lang w:eastAsia="en-GB"/>
              </w:rPr>
            </w:pPr>
            <w:r w:rsidRPr="000D4F7D">
              <w:rPr>
                <w:b/>
                <w:bCs/>
                <w:kern w:val="0"/>
                <w:sz w:val="24"/>
                <w:lang w:eastAsia="en-GB"/>
              </w:rPr>
              <w:t>Wang, S.</w:t>
            </w:r>
            <w:r w:rsidRPr="000D4F7D">
              <w:rPr>
                <w:kern w:val="0"/>
                <w:sz w:val="24"/>
                <w:lang w:eastAsia="en-GB"/>
              </w:rPr>
              <w:t>, Deng, H.*. The X-factor: Enhanced β-oxidation on intracellular triacylglycerols enabling overproduction of polyketide drug-like molecules in microorganisms.</w:t>
            </w:r>
            <w:r>
              <w:rPr>
                <w:kern w:val="0"/>
                <w:sz w:val="24"/>
                <w:lang w:eastAsia="en-GB"/>
              </w:rPr>
              <w:t xml:space="preserve"> </w:t>
            </w:r>
            <w:r w:rsidRPr="000D4F7D">
              <w:rPr>
                <w:b/>
                <w:bCs/>
                <w:i/>
                <w:iCs/>
                <w:kern w:val="0"/>
                <w:sz w:val="24"/>
                <w:lang w:eastAsia="en-GB"/>
              </w:rPr>
              <w:t>Synthetic and Systems Biotechnology</w:t>
            </w:r>
            <w:r w:rsidRPr="000D4F7D">
              <w:rPr>
                <w:kern w:val="0"/>
                <w:sz w:val="24"/>
                <w:lang w:eastAsia="en-GB"/>
              </w:rPr>
              <w:t>,</w:t>
            </w:r>
            <w:r>
              <w:rPr>
                <w:rFonts w:hint="eastAsia"/>
                <w:kern w:val="0"/>
                <w:sz w:val="24"/>
              </w:rPr>
              <w:t xml:space="preserve"> 2020, </w:t>
            </w:r>
            <w:r w:rsidRPr="000D4F7D">
              <w:rPr>
                <w:kern w:val="0"/>
                <w:sz w:val="24"/>
                <w:lang w:eastAsia="en-GB"/>
              </w:rPr>
              <w:t>5(1), 19.</w:t>
            </w:r>
          </w:p>
          <w:p w14:paraId="62C0DEEC" w14:textId="29EDEAEA" w:rsidR="000036DE" w:rsidRPr="006E3F8D" w:rsidRDefault="000036DE" w:rsidP="00040575">
            <w:pPr>
              <w:pStyle w:val="3"/>
              <w:numPr>
                <w:ilvl w:val="0"/>
                <w:numId w:val="3"/>
              </w:numPr>
              <w:spacing w:before="0" w:after="0" w:line="400" w:lineRule="exact"/>
              <w:jc w:val="both"/>
              <w:rPr>
                <w:b w:val="0"/>
                <w:bCs w:val="0"/>
                <w:noProof/>
                <w:color w:val="000000"/>
                <w:sz w:val="24"/>
                <w:lang w:val="en-US"/>
              </w:rPr>
            </w:pPr>
            <w:r w:rsidRPr="007C54F0">
              <w:rPr>
                <w:noProof/>
                <w:color w:val="000000"/>
                <w:sz w:val="24"/>
                <w:lang w:val="en-US"/>
              </w:rPr>
              <w:t>Wang, S.</w:t>
            </w:r>
            <w:r w:rsidRPr="006E3F8D">
              <w:rPr>
                <w:b w:val="0"/>
                <w:bCs w:val="0"/>
                <w:noProof/>
                <w:color w:val="000000"/>
                <w:sz w:val="24"/>
                <w:lang w:val="en-US"/>
              </w:rPr>
              <w:t>, Zhao, R., Liu, K., Zhu, M., Li, A.,</w:t>
            </w:r>
            <w:r>
              <w:rPr>
                <w:rFonts w:hint="eastAsia"/>
                <w:b w:val="0"/>
                <w:bCs w:val="0"/>
                <w:noProof/>
                <w:color w:val="000000"/>
                <w:sz w:val="24"/>
                <w:lang w:val="en-US" w:eastAsia="zh-CN"/>
              </w:rPr>
              <w:t xml:space="preserve"> </w:t>
            </w:r>
            <w:r w:rsidRPr="006E3F8D">
              <w:rPr>
                <w:b w:val="0"/>
                <w:bCs w:val="0"/>
                <w:noProof/>
                <w:color w:val="000000"/>
                <w:sz w:val="24"/>
                <w:lang w:val="en-US"/>
              </w:rPr>
              <w:t>He, J.*. Essential role of an</w:t>
            </w:r>
            <w:r>
              <w:rPr>
                <w:rFonts w:hint="eastAsia"/>
                <w:b w:val="0"/>
                <w:bCs w:val="0"/>
                <w:noProof/>
                <w:color w:val="000000"/>
                <w:sz w:val="24"/>
                <w:lang w:val="en-US" w:eastAsia="zh-CN"/>
              </w:rPr>
              <w:t xml:space="preserve"> </w:t>
            </w:r>
            <w:r w:rsidRPr="006E3F8D">
              <w:rPr>
                <w:b w:val="0"/>
                <w:bCs w:val="0"/>
                <w:noProof/>
                <w:color w:val="000000"/>
                <w:sz w:val="24"/>
                <w:lang w:val="en-US"/>
              </w:rPr>
              <w:t xml:space="preserve">unknown gene </w:t>
            </w:r>
            <w:r w:rsidRPr="006E3F8D">
              <w:rPr>
                <w:b w:val="0"/>
                <w:bCs w:val="0"/>
                <w:i/>
                <w:iCs/>
                <w:noProof/>
                <w:color w:val="000000"/>
                <w:sz w:val="24"/>
                <w:lang w:val="en-US"/>
              </w:rPr>
              <w:t>aziU3</w:t>
            </w:r>
            <w:r w:rsidRPr="006E3F8D">
              <w:rPr>
                <w:b w:val="0"/>
                <w:bCs w:val="0"/>
                <w:noProof/>
                <w:color w:val="000000"/>
                <w:sz w:val="24"/>
                <w:lang w:val="en-US"/>
              </w:rPr>
              <w:t xml:space="preserve"> in the production of antitumor antibiotic azinomycin B verified by utilizing optimized genetic manipulation systems for </w:t>
            </w:r>
            <w:r w:rsidRPr="006E3F8D">
              <w:rPr>
                <w:b w:val="0"/>
                <w:bCs w:val="0"/>
                <w:i/>
                <w:iCs/>
                <w:noProof/>
                <w:color w:val="000000"/>
                <w:sz w:val="24"/>
                <w:lang w:val="en-US"/>
              </w:rPr>
              <w:t>Streptomyces sahachiroi</w:t>
            </w:r>
            <w:r w:rsidRPr="006E3F8D">
              <w:rPr>
                <w:b w:val="0"/>
                <w:bCs w:val="0"/>
                <w:noProof/>
                <w:color w:val="000000"/>
                <w:sz w:val="24"/>
                <w:lang w:val="en-US"/>
              </w:rPr>
              <w:t>. </w:t>
            </w:r>
            <w:r w:rsidRPr="006E3F8D">
              <w:rPr>
                <w:i/>
                <w:iCs/>
                <w:noProof/>
                <w:color w:val="000000"/>
                <w:sz w:val="24"/>
                <w:lang w:val="en-US"/>
              </w:rPr>
              <w:t>FEMS microbiology letters</w:t>
            </w:r>
            <w:r w:rsidRPr="006E3F8D">
              <w:rPr>
                <w:b w:val="0"/>
                <w:bCs w:val="0"/>
                <w:noProof/>
                <w:color w:val="000000"/>
                <w:sz w:val="24"/>
                <w:lang w:val="en-US"/>
              </w:rPr>
              <w:t>, </w:t>
            </w:r>
            <w:r>
              <w:rPr>
                <w:rFonts w:hint="eastAsia"/>
                <w:b w:val="0"/>
                <w:bCs w:val="0"/>
                <w:noProof/>
                <w:color w:val="000000"/>
                <w:sz w:val="24"/>
                <w:lang w:val="en-US" w:eastAsia="zh-CN"/>
              </w:rPr>
              <w:t xml:space="preserve">2012, </w:t>
            </w:r>
            <w:r w:rsidRPr="006E3F8D">
              <w:rPr>
                <w:b w:val="0"/>
                <w:bCs w:val="0"/>
                <w:noProof/>
                <w:color w:val="000000"/>
                <w:sz w:val="24"/>
                <w:lang w:val="en-US"/>
              </w:rPr>
              <w:t>337(2), 147-154.</w:t>
            </w:r>
          </w:p>
          <w:p w14:paraId="1C34FD0C" w14:textId="247A8543" w:rsidR="000036DE" w:rsidRDefault="000036DE" w:rsidP="00040575">
            <w:pPr>
              <w:pStyle w:val="3"/>
              <w:numPr>
                <w:ilvl w:val="0"/>
                <w:numId w:val="3"/>
              </w:numPr>
              <w:spacing w:before="0" w:after="0" w:line="400" w:lineRule="exact"/>
              <w:jc w:val="both"/>
              <w:rPr>
                <w:rFonts w:eastAsia="宋体"/>
                <w:b w:val="0"/>
                <w:noProof/>
                <w:color w:val="000000"/>
                <w:sz w:val="24"/>
                <w:szCs w:val="24"/>
              </w:rPr>
            </w:pPr>
            <w:r w:rsidRPr="006226DA">
              <w:rPr>
                <w:rFonts w:eastAsia="宋体"/>
                <w:b w:val="0"/>
                <w:noProof/>
                <w:color w:val="000000"/>
                <w:sz w:val="24"/>
                <w:szCs w:val="24"/>
              </w:rPr>
              <w:t>Fang, Q., Wu, L., Urwald, C., Mugat, M.,</w:t>
            </w:r>
            <w:r w:rsidRPr="006226DA">
              <w:rPr>
                <w:rFonts w:eastAsia="宋体"/>
                <w:bCs w:val="0"/>
                <w:noProof/>
                <w:color w:val="000000"/>
                <w:sz w:val="24"/>
                <w:szCs w:val="24"/>
              </w:rPr>
              <w:t xml:space="preserve"> Wang, S.</w:t>
            </w:r>
            <w:r w:rsidRPr="006226DA">
              <w:rPr>
                <w:rFonts w:eastAsia="宋体"/>
                <w:b w:val="0"/>
                <w:noProof/>
                <w:color w:val="000000"/>
                <w:sz w:val="24"/>
                <w:szCs w:val="24"/>
              </w:rPr>
              <w:t xml:space="preserve">, Kyeremeh, K., Philips, C., Law, S., Zhou, Y., Deng, H.*. Genomic scanning enabling discovery of a new antibacterial bicyclic carbamate-containing alkaloid. </w:t>
            </w:r>
            <w:r w:rsidRPr="006226DA">
              <w:rPr>
                <w:rFonts w:eastAsia="宋体"/>
                <w:bCs w:val="0"/>
                <w:i/>
                <w:iCs/>
                <w:noProof/>
                <w:color w:val="000000"/>
                <w:sz w:val="24"/>
                <w:szCs w:val="24"/>
              </w:rPr>
              <w:t>Synthetic and systems biotechnology</w:t>
            </w:r>
            <w:r w:rsidRPr="00D02492">
              <w:rPr>
                <w:rFonts w:eastAsia="宋体"/>
                <w:b w:val="0"/>
                <w:noProof/>
                <w:color w:val="000000"/>
                <w:sz w:val="24"/>
                <w:szCs w:val="24"/>
              </w:rPr>
              <w:t>,</w:t>
            </w:r>
            <w:r w:rsidRPr="006226DA">
              <w:rPr>
                <w:rFonts w:eastAsia="宋体"/>
                <w:b w:val="0"/>
                <w:noProof/>
                <w:color w:val="000000"/>
                <w:sz w:val="24"/>
                <w:szCs w:val="24"/>
              </w:rPr>
              <w:t xml:space="preserve"> </w:t>
            </w:r>
            <w:r>
              <w:rPr>
                <w:rFonts w:eastAsia="宋体" w:hint="eastAsia"/>
                <w:b w:val="0"/>
                <w:noProof/>
                <w:color w:val="000000"/>
                <w:sz w:val="24"/>
                <w:szCs w:val="24"/>
                <w:lang w:eastAsia="zh-CN"/>
              </w:rPr>
              <w:t xml:space="preserve">2021, </w:t>
            </w:r>
            <w:r w:rsidRPr="006226DA">
              <w:rPr>
                <w:rFonts w:eastAsia="宋体"/>
                <w:b w:val="0"/>
                <w:noProof/>
                <w:color w:val="000000"/>
                <w:sz w:val="24"/>
                <w:szCs w:val="24"/>
              </w:rPr>
              <w:t>6(1), 12-19.</w:t>
            </w:r>
          </w:p>
          <w:p w14:paraId="37DC6BC2" w14:textId="3E09E0A4" w:rsidR="000036DE" w:rsidRPr="00252A42" w:rsidRDefault="000036DE" w:rsidP="00040575">
            <w:pPr>
              <w:widowControl/>
              <w:numPr>
                <w:ilvl w:val="0"/>
                <w:numId w:val="3"/>
              </w:numPr>
              <w:spacing w:line="400" w:lineRule="exact"/>
              <w:contextualSpacing/>
              <w:rPr>
                <w:kern w:val="0"/>
                <w:sz w:val="24"/>
                <w:lang w:eastAsia="en-GB"/>
              </w:rPr>
            </w:pPr>
            <w:r w:rsidRPr="00252A42">
              <w:rPr>
                <w:kern w:val="0"/>
                <w:sz w:val="24"/>
                <w:lang w:eastAsia="en-GB"/>
              </w:rPr>
              <w:t xml:space="preserve">Wu, L., Tong, M. H., Raab, A., Fang, Q., </w:t>
            </w:r>
            <w:bookmarkStart w:id="30" w:name="_Hlk39866432"/>
            <w:r w:rsidRPr="00252A42">
              <w:rPr>
                <w:b/>
                <w:bCs/>
                <w:kern w:val="0"/>
                <w:sz w:val="24"/>
                <w:lang w:eastAsia="en-GB"/>
              </w:rPr>
              <w:t>Wang, S.</w:t>
            </w:r>
            <w:r w:rsidRPr="00252A42">
              <w:rPr>
                <w:kern w:val="0"/>
                <w:sz w:val="24"/>
                <w:lang w:eastAsia="en-GB"/>
              </w:rPr>
              <w:t>,</w:t>
            </w:r>
            <w:bookmarkEnd w:id="30"/>
            <w:r w:rsidRPr="00252A42">
              <w:rPr>
                <w:kern w:val="0"/>
                <w:sz w:val="24"/>
                <w:lang w:eastAsia="en-GB"/>
              </w:rPr>
              <w:t xml:space="preserve"> </w:t>
            </w:r>
            <w:bookmarkStart w:id="31" w:name="_Hlk39866480"/>
            <w:proofErr w:type="spellStart"/>
            <w:r w:rsidRPr="00252A42">
              <w:rPr>
                <w:kern w:val="0"/>
                <w:sz w:val="24"/>
                <w:lang w:eastAsia="en-GB"/>
              </w:rPr>
              <w:t>Kyeremeh</w:t>
            </w:r>
            <w:proofErr w:type="spellEnd"/>
            <w:r w:rsidRPr="00252A42">
              <w:rPr>
                <w:kern w:val="0"/>
                <w:sz w:val="24"/>
                <w:lang w:eastAsia="en-GB"/>
              </w:rPr>
              <w:t>, K.</w:t>
            </w:r>
            <w:bookmarkEnd w:id="31"/>
            <w:r w:rsidRPr="00252A42">
              <w:rPr>
                <w:kern w:val="0"/>
                <w:sz w:val="24"/>
                <w:lang w:eastAsia="en-GB"/>
              </w:rPr>
              <w:t xml:space="preserve">, Yu, Yi., Deng, H.*. An unusual metal-bound 4-fluorothreonine </w:t>
            </w:r>
            <w:proofErr w:type="spellStart"/>
            <w:r w:rsidRPr="00252A42">
              <w:rPr>
                <w:kern w:val="0"/>
                <w:sz w:val="24"/>
                <w:lang w:eastAsia="en-GB"/>
              </w:rPr>
              <w:t>transaldolase</w:t>
            </w:r>
            <w:proofErr w:type="spellEnd"/>
            <w:r w:rsidRPr="00252A42">
              <w:rPr>
                <w:kern w:val="0"/>
                <w:sz w:val="24"/>
                <w:lang w:eastAsia="en-GB"/>
              </w:rPr>
              <w:t xml:space="preserve"> from </w:t>
            </w:r>
            <w:r w:rsidRPr="00252A42">
              <w:rPr>
                <w:i/>
                <w:iCs/>
                <w:kern w:val="0"/>
                <w:sz w:val="24"/>
                <w:lang w:eastAsia="en-GB"/>
              </w:rPr>
              <w:t>Streptomyces sp</w:t>
            </w:r>
            <w:r w:rsidRPr="00252A42">
              <w:rPr>
                <w:kern w:val="0"/>
                <w:sz w:val="24"/>
                <w:lang w:eastAsia="en-GB"/>
              </w:rPr>
              <w:t xml:space="preserve">. MA37 </w:t>
            </w:r>
            <w:proofErr w:type="spellStart"/>
            <w:r w:rsidRPr="00252A42">
              <w:rPr>
                <w:kern w:val="0"/>
                <w:sz w:val="24"/>
                <w:lang w:eastAsia="en-GB"/>
              </w:rPr>
              <w:t>catalyses</w:t>
            </w:r>
            <w:proofErr w:type="spellEnd"/>
            <w:r w:rsidRPr="00252A42">
              <w:rPr>
                <w:kern w:val="0"/>
                <w:sz w:val="24"/>
                <w:lang w:eastAsia="en-GB"/>
              </w:rPr>
              <w:t xml:space="preserve"> promiscuous </w:t>
            </w:r>
            <w:proofErr w:type="spellStart"/>
            <w:r w:rsidRPr="00252A42">
              <w:rPr>
                <w:kern w:val="0"/>
                <w:sz w:val="24"/>
                <w:lang w:eastAsia="en-GB"/>
              </w:rPr>
              <w:t>transaldol</w:t>
            </w:r>
            <w:proofErr w:type="spellEnd"/>
            <w:r w:rsidRPr="00252A42">
              <w:rPr>
                <w:kern w:val="0"/>
                <w:sz w:val="24"/>
                <w:lang w:eastAsia="en-GB"/>
              </w:rPr>
              <w:t xml:space="preserve"> reactions.</w:t>
            </w:r>
            <w:r w:rsidRPr="00252A42">
              <w:rPr>
                <w:b/>
                <w:bCs/>
                <w:kern w:val="0"/>
                <w:sz w:val="24"/>
                <w:lang w:eastAsia="en-GB"/>
              </w:rPr>
              <w:t xml:space="preserve"> </w:t>
            </w:r>
            <w:r w:rsidRPr="00252A42">
              <w:rPr>
                <w:b/>
                <w:bCs/>
                <w:i/>
                <w:iCs/>
                <w:kern w:val="0"/>
                <w:sz w:val="24"/>
                <w:lang w:eastAsia="en-GB"/>
              </w:rPr>
              <w:t>Applied microbiology and biotechnology</w:t>
            </w:r>
            <w:r w:rsidRPr="00252A42">
              <w:rPr>
                <w:kern w:val="0"/>
                <w:sz w:val="24"/>
                <w:lang w:eastAsia="en-GB"/>
              </w:rPr>
              <w:t xml:space="preserve">, </w:t>
            </w:r>
            <w:r>
              <w:rPr>
                <w:rFonts w:hint="eastAsia"/>
                <w:kern w:val="0"/>
                <w:sz w:val="24"/>
              </w:rPr>
              <w:t>2020,</w:t>
            </w:r>
            <w:r w:rsidRPr="000139E5">
              <w:t xml:space="preserve"> </w:t>
            </w:r>
            <w:r w:rsidRPr="000139E5">
              <w:rPr>
                <w:kern w:val="0"/>
                <w:sz w:val="24"/>
              </w:rPr>
              <w:t>104</w:t>
            </w:r>
            <w:r>
              <w:rPr>
                <w:rFonts w:hint="eastAsia"/>
                <w:kern w:val="0"/>
                <w:sz w:val="24"/>
              </w:rPr>
              <w:t xml:space="preserve">, </w:t>
            </w:r>
            <w:r w:rsidRPr="000139E5">
              <w:rPr>
                <w:kern w:val="0"/>
                <w:sz w:val="24"/>
              </w:rPr>
              <w:t>3885-3896</w:t>
            </w:r>
            <w:r w:rsidRPr="00252A42">
              <w:rPr>
                <w:kern w:val="0"/>
                <w:sz w:val="24"/>
                <w:lang w:eastAsia="en-GB"/>
              </w:rPr>
              <w:t>.</w:t>
            </w:r>
          </w:p>
          <w:p w14:paraId="1E1EC65F" w14:textId="039D210F" w:rsidR="000036DE" w:rsidRPr="00B13AEA" w:rsidRDefault="000036DE" w:rsidP="00040575">
            <w:pPr>
              <w:widowControl/>
              <w:numPr>
                <w:ilvl w:val="0"/>
                <w:numId w:val="3"/>
              </w:numPr>
              <w:spacing w:line="400" w:lineRule="exact"/>
              <w:contextualSpacing/>
              <w:rPr>
                <w:kern w:val="0"/>
                <w:sz w:val="24"/>
                <w:lang w:eastAsia="en-GB"/>
              </w:rPr>
            </w:pPr>
            <w:proofErr w:type="spellStart"/>
            <w:r w:rsidRPr="00B13AEA">
              <w:rPr>
                <w:kern w:val="0"/>
                <w:sz w:val="24"/>
                <w:lang w:eastAsia="en-GB"/>
              </w:rPr>
              <w:t>Maglangit</w:t>
            </w:r>
            <w:proofErr w:type="spellEnd"/>
            <w:r w:rsidRPr="00B13AEA">
              <w:rPr>
                <w:kern w:val="0"/>
                <w:sz w:val="24"/>
                <w:lang w:eastAsia="en-GB"/>
              </w:rPr>
              <w:t xml:space="preserve">, F., </w:t>
            </w:r>
            <w:proofErr w:type="spellStart"/>
            <w:r w:rsidRPr="00B13AEA">
              <w:rPr>
                <w:kern w:val="0"/>
                <w:sz w:val="24"/>
                <w:lang w:eastAsia="en-GB"/>
              </w:rPr>
              <w:t>Alrashdi</w:t>
            </w:r>
            <w:proofErr w:type="spellEnd"/>
            <w:r w:rsidRPr="00B13AEA">
              <w:rPr>
                <w:kern w:val="0"/>
                <w:sz w:val="24"/>
                <w:lang w:eastAsia="en-GB"/>
              </w:rPr>
              <w:t xml:space="preserve">, S., Renault, J., </w:t>
            </w:r>
            <w:proofErr w:type="spellStart"/>
            <w:r w:rsidRPr="00B13AEA">
              <w:rPr>
                <w:kern w:val="0"/>
                <w:sz w:val="24"/>
                <w:lang w:eastAsia="en-GB"/>
              </w:rPr>
              <w:t>Trembleau</w:t>
            </w:r>
            <w:proofErr w:type="spellEnd"/>
            <w:r w:rsidRPr="00B13AEA">
              <w:rPr>
                <w:kern w:val="0"/>
                <w:sz w:val="24"/>
                <w:lang w:eastAsia="en-GB"/>
              </w:rPr>
              <w:t>, L., Victoria, C., Tong, M. H.,</w:t>
            </w:r>
            <w:r w:rsidRPr="00B13AEA">
              <w:rPr>
                <w:b/>
                <w:bCs/>
                <w:kern w:val="0"/>
                <w:sz w:val="24"/>
                <w:lang w:eastAsia="en-GB"/>
              </w:rPr>
              <w:t xml:space="preserve"> Wang, S.</w:t>
            </w:r>
            <w:r w:rsidRPr="00B13AEA">
              <w:rPr>
                <w:kern w:val="0"/>
                <w:sz w:val="24"/>
                <w:lang w:eastAsia="en-GB"/>
              </w:rPr>
              <w:t xml:space="preserve">, </w:t>
            </w:r>
            <w:proofErr w:type="spellStart"/>
            <w:r w:rsidRPr="00B13AEA">
              <w:rPr>
                <w:kern w:val="0"/>
                <w:sz w:val="24"/>
                <w:lang w:eastAsia="en-GB"/>
              </w:rPr>
              <w:t>Kyeremeh</w:t>
            </w:r>
            <w:proofErr w:type="spellEnd"/>
            <w:r w:rsidRPr="00B13AEA">
              <w:rPr>
                <w:kern w:val="0"/>
                <w:sz w:val="24"/>
                <w:lang w:eastAsia="en-GB"/>
              </w:rPr>
              <w:t>, K.</w:t>
            </w:r>
            <w:r>
              <w:rPr>
                <w:rFonts w:hint="eastAsia"/>
                <w:kern w:val="0"/>
                <w:sz w:val="24"/>
              </w:rPr>
              <w:t xml:space="preserve">, </w:t>
            </w:r>
            <w:r w:rsidRPr="00B13AEA">
              <w:rPr>
                <w:kern w:val="0"/>
                <w:sz w:val="24"/>
                <w:lang w:eastAsia="en-GB"/>
              </w:rPr>
              <w:t xml:space="preserve">Deng, H.*. Characterization of the promiscuous N-acyl CoA transferase, </w:t>
            </w:r>
            <w:proofErr w:type="spellStart"/>
            <w:r w:rsidRPr="00B13AEA">
              <w:rPr>
                <w:kern w:val="0"/>
                <w:sz w:val="24"/>
                <w:lang w:eastAsia="en-GB"/>
              </w:rPr>
              <w:t>LgoC</w:t>
            </w:r>
            <w:proofErr w:type="spellEnd"/>
            <w:r w:rsidRPr="00B13AEA">
              <w:rPr>
                <w:kern w:val="0"/>
                <w:sz w:val="24"/>
                <w:lang w:eastAsia="en-GB"/>
              </w:rPr>
              <w:t xml:space="preserve">, in </w:t>
            </w:r>
            <w:proofErr w:type="spellStart"/>
            <w:r w:rsidRPr="00B13AEA">
              <w:rPr>
                <w:kern w:val="0"/>
                <w:sz w:val="24"/>
                <w:lang w:eastAsia="en-GB"/>
              </w:rPr>
              <w:t>legonoxamine</w:t>
            </w:r>
            <w:proofErr w:type="spellEnd"/>
            <w:r w:rsidRPr="00B13AEA">
              <w:rPr>
                <w:kern w:val="0"/>
                <w:sz w:val="24"/>
                <w:lang w:eastAsia="en-GB"/>
              </w:rPr>
              <w:t xml:space="preserve"> biosynthesis. </w:t>
            </w:r>
            <w:r w:rsidRPr="00B13AEA">
              <w:rPr>
                <w:b/>
                <w:bCs/>
                <w:i/>
                <w:iCs/>
                <w:kern w:val="0"/>
                <w:sz w:val="24"/>
                <w:lang w:eastAsia="en-GB"/>
              </w:rPr>
              <w:t>Organic &amp; Biomolecular Chemistry</w:t>
            </w:r>
            <w:r w:rsidRPr="00B13AEA">
              <w:rPr>
                <w:kern w:val="0"/>
                <w:sz w:val="24"/>
                <w:lang w:eastAsia="en-GB"/>
              </w:rPr>
              <w:t>, </w:t>
            </w:r>
            <w:r>
              <w:rPr>
                <w:rFonts w:hint="eastAsia"/>
                <w:kern w:val="0"/>
                <w:sz w:val="24"/>
              </w:rPr>
              <w:t xml:space="preserve">2020, </w:t>
            </w:r>
            <w:r w:rsidRPr="00B13AEA">
              <w:rPr>
                <w:kern w:val="0"/>
                <w:sz w:val="24"/>
                <w:lang w:eastAsia="en-GB"/>
              </w:rPr>
              <w:t>18(12), 2219-2222.</w:t>
            </w:r>
          </w:p>
          <w:p w14:paraId="1DACFCA3" w14:textId="30065E1D" w:rsidR="000036DE" w:rsidRDefault="000036DE" w:rsidP="00040575">
            <w:pPr>
              <w:widowControl/>
              <w:numPr>
                <w:ilvl w:val="0"/>
                <w:numId w:val="3"/>
              </w:numPr>
              <w:spacing w:line="400" w:lineRule="exact"/>
              <w:ind w:left="357" w:hanging="357"/>
              <w:contextualSpacing/>
              <w:rPr>
                <w:kern w:val="0"/>
                <w:sz w:val="24"/>
                <w:lang w:eastAsia="en-GB"/>
              </w:rPr>
            </w:pPr>
            <w:r w:rsidRPr="005133AB">
              <w:rPr>
                <w:kern w:val="0"/>
                <w:sz w:val="24"/>
                <w:lang w:val="en-GB" w:eastAsia="en-GB"/>
              </w:rPr>
              <w:t xml:space="preserve">Wang, B., Li, X., </w:t>
            </w:r>
            <w:proofErr w:type="spellStart"/>
            <w:r w:rsidRPr="005133AB">
              <w:rPr>
                <w:kern w:val="0"/>
                <w:sz w:val="24"/>
                <w:lang w:val="en-GB" w:eastAsia="en-GB"/>
              </w:rPr>
              <w:t>Tabudravu</w:t>
            </w:r>
            <w:proofErr w:type="spellEnd"/>
            <w:r w:rsidRPr="005133AB">
              <w:rPr>
                <w:kern w:val="0"/>
                <w:sz w:val="24"/>
                <w:lang w:val="en-GB" w:eastAsia="en-GB"/>
              </w:rPr>
              <w:t xml:space="preserve">, J., </w:t>
            </w:r>
            <w:r w:rsidRPr="005133AB">
              <w:rPr>
                <w:b/>
                <w:bCs/>
                <w:kern w:val="0"/>
                <w:sz w:val="24"/>
                <w:lang w:val="en-GB" w:eastAsia="en-GB"/>
              </w:rPr>
              <w:t>Wang, S.</w:t>
            </w:r>
            <w:r w:rsidRPr="005133AB">
              <w:rPr>
                <w:kern w:val="0"/>
                <w:sz w:val="24"/>
                <w:lang w:val="en-GB" w:eastAsia="en-GB"/>
              </w:rPr>
              <w:t xml:space="preserve">, Deng, H.*, Pan, L.*. The chemical profile of activated secondary metabolites by overexpressing </w:t>
            </w:r>
            <w:proofErr w:type="spellStart"/>
            <w:r w:rsidRPr="005133AB">
              <w:rPr>
                <w:kern w:val="0"/>
                <w:sz w:val="24"/>
                <w:lang w:val="en-GB" w:eastAsia="en-GB"/>
              </w:rPr>
              <w:t>LaeA</w:t>
            </w:r>
            <w:proofErr w:type="spellEnd"/>
            <w:r w:rsidRPr="005133AB">
              <w:rPr>
                <w:kern w:val="0"/>
                <w:sz w:val="24"/>
                <w:lang w:val="en-GB" w:eastAsia="en-GB"/>
              </w:rPr>
              <w:t xml:space="preserve"> in </w:t>
            </w:r>
            <w:r w:rsidRPr="005133AB">
              <w:rPr>
                <w:i/>
                <w:iCs/>
                <w:kern w:val="0"/>
                <w:sz w:val="24"/>
                <w:lang w:val="en-GB" w:eastAsia="en-GB"/>
              </w:rPr>
              <w:t xml:space="preserve">Aspergillus </w:t>
            </w:r>
            <w:proofErr w:type="spellStart"/>
            <w:r w:rsidRPr="005133AB">
              <w:rPr>
                <w:i/>
                <w:iCs/>
                <w:kern w:val="0"/>
                <w:sz w:val="24"/>
                <w:lang w:val="en-GB" w:eastAsia="en-GB"/>
              </w:rPr>
              <w:t>niger</w:t>
            </w:r>
            <w:proofErr w:type="spellEnd"/>
            <w:r w:rsidRPr="005133AB">
              <w:rPr>
                <w:kern w:val="0"/>
                <w:sz w:val="24"/>
                <w:lang w:val="en-GB" w:eastAsia="en-GB"/>
              </w:rPr>
              <w:t>. </w:t>
            </w:r>
            <w:r w:rsidRPr="005133AB">
              <w:rPr>
                <w:b/>
                <w:bCs/>
                <w:i/>
                <w:iCs/>
                <w:kern w:val="0"/>
                <w:sz w:val="24"/>
                <w:lang w:val="en-GB" w:eastAsia="en-GB"/>
              </w:rPr>
              <w:t>Microbiological research</w:t>
            </w:r>
            <w:r w:rsidRPr="005133AB">
              <w:rPr>
                <w:kern w:val="0"/>
                <w:sz w:val="24"/>
                <w:lang w:val="en-GB" w:eastAsia="en-GB"/>
              </w:rPr>
              <w:t>, </w:t>
            </w:r>
            <w:r>
              <w:rPr>
                <w:rFonts w:hint="eastAsia"/>
                <w:kern w:val="0"/>
                <w:sz w:val="24"/>
                <w:lang w:val="en-GB"/>
              </w:rPr>
              <w:t>2021,</w:t>
            </w:r>
            <w:r w:rsidRPr="005133AB">
              <w:rPr>
                <w:rFonts w:hint="eastAsia"/>
                <w:kern w:val="0"/>
                <w:sz w:val="24"/>
                <w:lang w:val="en-GB"/>
              </w:rPr>
              <w:t xml:space="preserve"> </w:t>
            </w:r>
            <w:r w:rsidRPr="005133AB">
              <w:rPr>
                <w:kern w:val="0"/>
                <w:sz w:val="24"/>
                <w:lang w:val="en-GB" w:eastAsia="en-GB"/>
              </w:rPr>
              <w:t xml:space="preserve">248, 126735. </w:t>
            </w:r>
          </w:p>
          <w:p w14:paraId="1064AFB1" w14:textId="21D97FBE" w:rsidR="000036DE" w:rsidRPr="000036DE" w:rsidRDefault="000036DE" w:rsidP="00040575">
            <w:pPr>
              <w:pStyle w:val="a9"/>
              <w:widowControl/>
              <w:numPr>
                <w:ilvl w:val="0"/>
                <w:numId w:val="3"/>
              </w:numPr>
              <w:spacing w:line="400" w:lineRule="exact"/>
              <w:ind w:left="357" w:firstLineChars="0" w:hanging="357"/>
              <w:contextualSpacing/>
              <w:rPr>
                <w:sz w:val="24"/>
              </w:rPr>
            </w:pPr>
            <w:r w:rsidRPr="000036DE">
              <w:rPr>
                <w:sz w:val="24"/>
              </w:rPr>
              <w:t xml:space="preserve">Valera, A., </w:t>
            </w:r>
            <w:r w:rsidRPr="000036DE">
              <w:rPr>
                <w:b/>
                <w:bCs/>
                <w:sz w:val="24"/>
              </w:rPr>
              <w:t>Wang, S.</w:t>
            </w:r>
            <w:r w:rsidRPr="000036DE">
              <w:rPr>
                <w:sz w:val="24"/>
              </w:rPr>
              <w:t xml:space="preserve">, Carr, R., </w:t>
            </w:r>
            <w:proofErr w:type="spellStart"/>
            <w:r w:rsidRPr="000036DE">
              <w:rPr>
                <w:sz w:val="24"/>
              </w:rPr>
              <w:t>Trembleau</w:t>
            </w:r>
            <w:proofErr w:type="spellEnd"/>
            <w:r w:rsidRPr="000036DE">
              <w:rPr>
                <w:sz w:val="24"/>
              </w:rPr>
              <w:t xml:space="preserve">, L., Deng, H.*. Characterization of a class II ketol-acid </w:t>
            </w:r>
            <w:proofErr w:type="spellStart"/>
            <w:r w:rsidRPr="000036DE">
              <w:rPr>
                <w:sz w:val="24"/>
              </w:rPr>
              <w:t>reductoisomerase</w:t>
            </w:r>
            <w:proofErr w:type="spellEnd"/>
            <w:r w:rsidRPr="000036DE">
              <w:rPr>
                <w:sz w:val="24"/>
              </w:rPr>
              <w:t xml:space="preserve"> from </w:t>
            </w:r>
            <w:r w:rsidRPr="000036DE">
              <w:rPr>
                <w:i/>
                <w:iCs/>
                <w:sz w:val="24"/>
              </w:rPr>
              <w:t>Mycobacterium tuberculosis</w:t>
            </w:r>
            <w:r w:rsidRPr="000036DE">
              <w:rPr>
                <w:sz w:val="24"/>
              </w:rPr>
              <w:t>. </w:t>
            </w:r>
            <w:r w:rsidRPr="000036DE">
              <w:rPr>
                <w:b/>
                <w:bCs/>
                <w:i/>
                <w:iCs/>
                <w:sz w:val="24"/>
              </w:rPr>
              <w:t>RSC advances</w:t>
            </w:r>
            <w:r w:rsidRPr="000036DE">
              <w:rPr>
                <w:sz w:val="24"/>
              </w:rPr>
              <w:t xml:space="preserve">, </w:t>
            </w:r>
            <w:r w:rsidRPr="000036DE">
              <w:rPr>
                <w:rFonts w:hint="eastAsia"/>
                <w:sz w:val="24"/>
              </w:rPr>
              <w:t xml:space="preserve">2022, </w:t>
            </w:r>
            <w:r w:rsidRPr="000036DE">
              <w:rPr>
                <w:sz w:val="24"/>
              </w:rPr>
              <w:t>12(17), 10540-10544.</w:t>
            </w:r>
          </w:p>
          <w:p w14:paraId="1E0F30CE" w14:textId="50066EE7" w:rsidR="0009794E" w:rsidRPr="000036DE" w:rsidRDefault="000036DE" w:rsidP="00040575">
            <w:pPr>
              <w:pStyle w:val="a9"/>
              <w:widowControl/>
              <w:numPr>
                <w:ilvl w:val="0"/>
                <w:numId w:val="3"/>
              </w:numPr>
              <w:spacing w:line="400" w:lineRule="exact"/>
              <w:ind w:firstLineChars="0"/>
              <w:contextualSpacing/>
            </w:pPr>
            <w:r w:rsidRPr="000036DE">
              <w:rPr>
                <w:sz w:val="24"/>
              </w:rPr>
              <w:t xml:space="preserve">Zhou, M., Li, Y., Che, H., Sun, Y., </w:t>
            </w:r>
            <w:r w:rsidRPr="000036DE">
              <w:rPr>
                <w:b/>
                <w:bCs/>
                <w:sz w:val="24"/>
              </w:rPr>
              <w:t>Wang, S.</w:t>
            </w:r>
            <w:r w:rsidRPr="000036DE">
              <w:rPr>
                <w:sz w:val="24"/>
              </w:rPr>
              <w:t xml:space="preserve">, Zhan, Y., </w:t>
            </w:r>
            <w:r w:rsidRPr="000036DE">
              <w:rPr>
                <w:rFonts w:hint="eastAsia"/>
                <w:sz w:val="24"/>
              </w:rPr>
              <w:t xml:space="preserve">Cai, D., </w:t>
            </w:r>
            <w:r w:rsidRPr="000036DE">
              <w:rPr>
                <w:sz w:val="24"/>
              </w:rPr>
              <w:t>Chen, S.</w:t>
            </w:r>
            <w:r w:rsidRPr="000036DE">
              <w:rPr>
                <w:rFonts w:hint="eastAsia"/>
                <w:sz w:val="24"/>
              </w:rPr>
              <w:t>*</w:t>
            </w:r>
            <w:r w:rsidRPr="000036DE">
              <w:rPr>
                <w:sz w:val="24"/>
              </w:rPr>
              <w:t xml:space="preserve">. Metabolic Engineering of </w:t>
            </w:r>
            <w:r w:rsidRPr="000036DE">
              <w:rPr>
                <w:i/>
                <w:iCs/>
                <w:sz w:val="24"/>
              </w:rPr>
              <w:t>Bacillus licheniformis</w:t>
            </w:r>
            <w:r w:rsidRPr="000036DE">
              <w:rPr>
                <w:sz w:val="24"/>
              </w:rPr>
              <w:t xml:space="preserve"> for the Bioproduction of Nicotinamide Riboside from Nicotinamide and Glucose. </w:t>
            </w:r>
            <w:r w:rsidRPr="000036DE">
              <w:rPr>
                <w:b/>
                <w:bCs/>
                <w:i/>
                <w:iCs/>
                <w:sz w:val="24"/>
              </w:rPr>
              <w:t>ACS Sustainable Chemistry &amp; Engineering</w:t>
            </w:r>
            <w:r w:rsidRPr="000036DE">
              <w:rPr>
                <w:sz w:val="24"/>
              </w:rPr>
              <w:t>, </w:t>
            </w:r>
            <w:r w:rsidRPr="000036DE">
              <w:rPr>
                <w:rFonts w:hint="eastAsia"/>
                <w:sz w:val="24"/>
              </w:rPr>
              <w:t xml:space="preserve">2023, </w:t>
            </w:r>
            <w:r w:rsidRPr="000036DE">
              <w:rPr>
                <w:sz w:val="24"/>
              </w:rPr>
              <w:t xml:space="preserve">11(16), 6201-6210. </w:t>
            </w:r>
          </w:p>
        </w:tc>
      </w:tr>
    </w:tbl>
    <w:p w14:paraId="1248E4FD" w14:textId="77777777" w:rsidR="0009794E" w:rsidRDefault="0009794E"/>
    <w:sectPr w:rsidR="0009794E">
      <w:headerReference w:type="default" r:id="rId8"/>
      <w:pgSz w:w="11906" w:h="16838"/>
      <w:pgMar w:top="1191"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FC86" w14:textId="77777777" w:rsidR="008F4F2F" w:rsidRDefault="008F4F2F">
      <w:r>
        <w:separator/>
      </w:r>
    </w:p>
  </w:endnote>
  <w:endnote w:type="continuationSeparator" w:id="0">
    <w:p w14:paraId="21865663" w14:textId="77777777" w:rsidR="008F4F2F" w:rsidRDefault="008F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60DC" w14:textId="77777777" w:rsidR="008F4F2F" w:rsidRDefault="008F4F2F">
      <w:r>
        <w:separator/>
      </w:r>
    </w:p>
  </w:footnote>
  <w:footnote w:type="continuationSeparator" w:id="0">
    <w:p w14:paraId="0330058F" w14:textId="77777777" w:rsidR="008F4F2F" w:rsidRDefault="008F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EBC8" w14:textId="77777777" w:rsidR="0009794E" w:rsidRDefault="0009794E">
    <w:pPr>
      <w:pStyle w:val="a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9E"/>
    <w:multiLevelType w:val="hybridMultilevel"/>
    <w:tmpl w:val="2D0688D6"/>
    <w:lvl w:ilvl="0" w:tplc="FFFFFFFF">
      <w:start w:val="1"/>
      <w:numFmt w:val="decimal"/>
      <w:lvlText w:val="(%1)"/>
      <w:lvlJc w:val="left"/>
      <w:pPr>
        <w:ind w:left="360" w:hanging="360"/>
      </w:pPr>
      <w:rPr>
        <w:rFonts w:ascii="Times New Roman" w:eastAsia="等线" w:hAnsi="Times New Roman" w:cs="Times New Roman"/>
        <w:b w:val="0"/>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1CAE769D"/>
    <w:multiLevelType w:val="hybridMultilevel"/>
    <w:tmpl w:val="2D0688D6"/>
    <w:lvl w:ilvl="0" w:tplc="BF1ACEC8">
      <w:start w:val="1"/>
      <w:numFmt w:val="decimal"/>
      <w:lvlText w:val="(%1)"/>
      <w:lvlJc w:val="left"/>
      <w:pPr>
        <w:ind w:left="360" w:hanging="360"/>
      </w:pPr>
      <w:rPr>
        <w:rFonts w:ascii="Times New Roman" w:eastAsia="等线" w:hAnsi="Times New Roman" w:cs="Times New Roman"/>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256F90"/>
    <w:multiLevelType w:val="hybridMultilevel"/>
    <w:tmpl w:val="46ACC75C"/>
    <w:lvl w:ilvl="0" w:tplc="FFFFFFFF">
      <w:start w:val="1"/>
      <w:numFmt w:val="decimal"/>
      <w:lvlText w:val="(%1)"/>
      <w:lvlJc w:val="left"/>
      <w:pPr>
        <w:ind w:left="360" w:hanging="360"/>
      </w:pPr>
      <w:rPr>
        <w:rFonts w:ascii="Times New Roman" w:eastAsia="等线" w:hAnsi="Times New Roman" w:cs="Times New Roman"/>
        <w:b w:val="0"/>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6706144D"/>
    <w:multiLevelType w:val="hybridMultilevel"/>
    <w:tmpl w:val="180AA98A"/>
    <w:lvl w:ilvl="0" w:tplc="4F8AE2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0466595">
    <w:abstractNumId w:val="1"/>
  </w:num>
  <w:num w:numId="2" w16cid:durableId="868025722">
    <w:abstractNumId w:val="2"/>
  </w:num>
  <w:num w:numId="3" w16cid:durableId="1374696450">
    <w:abstractNumId w:val="0"/>
  </w:num>
  <w:num w:numId="4" w16cid:durableId="162191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VkOWI3YzZjMzMzNWY5MjAwZjYwMGU2MDQ0ZDMxNTMifQ=="/>
  </w:docVars>
  <w:rsids>
    <w:rsidRoot w:val="008A3A3F"/>
    <w:rsid w:val="000036DE"/>
    <w:rsid w:val="00004AC3"/>
    <w:rsid w:val="00040575"/>
    <w:rsid w:val="00074498"/>
    <w:rsid w:val="0009794E"/>
    <w:rsid w:val="000A65E2"/>
    <w:rsid w:val="000F5BB8"/>
    <w:rsid w:val="00106730"/>
    <w:rsid w:val="00150B0E"/>
    <w:rsid w:val="00193F92"/>
    <w:rsid w:val="001A5412"/>
    <w:rsid w:val="001B2CEF"/>
    <w:rsid w:val="001C5CC8"/>
    <w:rsid w:val="001F3C18"/>
    <w:rsid w:val="0021125C"/>
    <w:rsid w:val="00223333"/>
    <w:rsid w:val="0024150D"/>
    <w:rsid w:val="002A5D31"/>
    <w:rsid w:val="00332B32"/>
    <w:rsid w:val="003A363B"/>
    <w:rsid w:val="003F430D"/>
    <w:rsid w:val="003F7D87"/>
    <w:rsid w:val="004105E0"/>
    <w:rsid w:val="00414434"/>
    <w:rsid w:val="00424EE3"/>
    <w:rsid w:val="004365B1"/>
    <w:rsid w:val="004A3599"/>
    <w:rsid w:val="004A424E"/>
    <w:rsid w:val="004D758C"/>
    <w:rsid w:val="00517360"/>
    <w:rsid w:val="00521A59"/>
    <w:rsid w:val="0056771F"/>
    <w:rsid w:val="00587AC1"/>
    <w:rsid w:val="00592353"/>
    <w:rsid w:val="005972C5"/>
    <w:rsid w:val="005C535E"/>
    <w:rsid w:val="005E6C80"/>
    <w:rsid w:val="005F3481"/>
    <w:rsid w:val="006168DE"/>
    <w:rsid w:val="0061693E"/>
    <w:rsid w:val="00617FE9"/>
    <w:rsid w:val="006814B8"/>
    <w:rsid w:val="006A6E9A"/>
    <w:rsid w:val="006B4B45"/>
    <w:rsid w:val="006C3A5C"/>
    <w:rsid w:val="00714C3F"/>
    <w:rsid w:val="00727DBB"/>
    <w:rsid w:val="00752892"/>
    <w:rsid w:val="00764392"/>
    <w:rsid w:val="007816AF"/>
    <w:rsid w:val="008118B3"/>
    <w:rsid w:val="008320C6"/>
    <w:rsid w:val="00834DD4"/>
    <w:rsid w:val="008658A7"/>
    <w:rsid w:val="008661FA"/>
    <w:rsid w:val="008728CB"/>
    <w:rsid w:val="008A3A3F"/>
    <w:rsid w:val="008A42D5"/>
    <w:rsid w:val="008B1FCF"/>
    <w:rsid w:val="008C2578"/>
    <w:rsid w:val="008E3CCD"/>
    <w:rsid w:val="008E4C9B"/>
    <w:rsid w:val="008F4F2F"/>
    <w:rsid w:val="00916C11"/>
    <w:rsid w:val="00946173"/>
    <w:rsid w:val="009504BC"/>
    <w:rsid w:val="00962A08"/>
    <w:rsid w:val="009A6C8D"/>
    <w:rsid w:val="009C76F7"/>
    <w:rsid w:val="009D7826"/>
    <w:rsid w:val="009E4455"/>
    <w:rsid w:val="009F17AC"/>
    <w:rsid w:val="00A01581"/>
    <w:rsid w:val="00A301D9"/>
    <w:rsid w:val="00A36484"/>
    <w:rsid w:val="00A506FF"/>
    <w:rsid w:val="00A969CE"/>
    <w:rsid w:val="00AA2A7E"/>
    <w:rsid w:val="00AB40A2"/>
    <w:rsid w:val="00B05650"/>
    <w:rsid w:val="00B06705"/>
    <w:rsid w:val="00B40338"/>
    <w:rsid w:val="00B40E5F"/>
    <w:rsid w:val="00B506EE"/>
    <w:rsid w:val="00B7090B"/>
    <w:rsid w:val="00B71AFC"/>
    <w:rsid w:val="00BB24A6"/>
    <w:rsid w:val="00BE2340"/>
    <w:rsid w:val="00BF2AC9"/>
    <w:rsid w:val="00C2592F"/>
    <w:rsid w:val="00C45C31"/>
    <w:rsid w:val="00C70A71"/>
    <w:rsid w:val="00C847E9"/>
    <w:rsid w:val="00C84FDC"/>
    <w:rsid w:val="00CA0219"/>
    <w:rsid w:val="00CA6955"/>
    <w:rsid w:val="00CB2281"/>
    <w:rsid w:val="00CD6A39"/>
    <w:rsid w:val="00CE1165"/>
    <w:rsid w:val="00CF3769"/>
    <w:rsid w:val="00D11B1E"/>
    <w:rsid w:val="00D478B2"/>
    <w:rsid w:val="00D47DA0"/>
    <w:rsid w:val="00D525F5"/>
    <w:rsid w:val="00D73FEE"/>
    <w:rsid w:val="00DE1691"/>
    <w:rsid w:val="00E11B76"/>
    <w:rsid w:val="00E7075F"/>
    <w:rsid w:val="00EB52AF"/>
    <w:rsid w:val="00EB6933"/>
    <w:rsid w:val="00ED3235"/>
    <w:rsid w:val="00EE132E"/>
    <w:rsid w:val="00EF4E17"/>
    <w:rsid w:val="00F35C9A"/>
    <w:rsid w:val="00F56232"/>
    <w:rsid w:val="00F573FB"/>
    <w:rsid w:val="00F61FCF"/>
    <w:rsid w:val="00F7499D"/>
    <w:rsid w:val="00F84D0C"/>
    <w:rsid w:val="00FE378C"/>
    <w:rsid w:val="555C23A0"/>
    <w:rsid w:val="5743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8D64A"/>
  <w15:docId w15:val="{2F56A103-8BEA-4FF9-A838-70A3CEDC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link w:val="30"/>
    <w:uiPriority w:val="9"/>
    <w:qFormat/>
    <w:rsid w:val="000036DE"/>
    <w:pPr>
      <w:widowControl/>
      <w:spacing w:before="220" w:after="30"/>
      <w:jc w:val="left"/>
      <w:outlineLvl w:val="2"/>
    </w:pPr>
    <w:rPr>
      <w:rFonts w:eastAsia="等线"/>
      <w:b/>
      <w:bCs/>
      <w:kern w:val="0"/>
      <w:sz w:val="27"/>
      <w:szCs w:val="27"/>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30">
    <w:name w:val="标题 3 字符"/>
    <w:basedOn w:val="a0"/>
    <w:link w:val="3"/>
    <w:uiPriority w:val="9"/>
    <w:rsid w:val="000036DE"/>
    <w:rPr>
      <w:rFonts w:ascii="Times New Roman" w:eastAsia="等线" w:hAnsi="Times New Roman" w:cs="Times New Roman"/>
      <w:b/>
      <w:bCs/>
      <w:sz w:val="27"/>
      <w:szCs w:val="27"/>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884</Words>
  <Characters>5716</Characters>
  <Application>Microsoft Office Word</Application>
  <DocSecurity>0</DocSecurity>
  <Lines>121</Lines>
  <Paragraphs>63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 Wang</cp:lastModifiedBy>
  <cp:revision>104</cp:revision>
  <dcterms:created xsi:type="dcterms:W3CDTF">2015-11-26T01:58:00Z</dcterms:created>
  <dcterms:modified xsi:type="dcterms:W3CDTF">2025-12-15T14:59:00Z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7DE7D7F5B7974A06B5A01EB889E81AAB</vt:lpwstr>
  </property>
</Properties>
</file>