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6E2F86" w:rsidP="006E2F8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9B347D" wp14:editId="1A346137">
                  <wp:extent cx="1209675" cy="1489710"/>
                  <wp:effectExtent l="0" t="0" r="9525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9E3DE6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Xia Li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9E3DE6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Femal</w:t>
            </w:r>
            <w:r w:rsidR="00B542E4">
              <w:rPr>
                <w:rFonts w:hint="eastAsia"/>
                <w:sz w:val="24"/>
              </w:rPr>
              <w:t>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9E3DE6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9E3DE6" w:rsidP="009E3DE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College of Plant Science &amp; </w:t>
            </w:r>
            <w:r>
              <w:rPr>
                <w:rFonts w:ascii="Times New Roman" w:hAnsi="Times New Roman" w:cs="Times New Roman" w:hint="eastAsia"/>
                <w:bCs/>
                <w:color w:val="222222"/>
                <w:bdr w:val="none" w:sz="0" w:space="0" w:color="auto" w:frame="1"/>
              </w:rPr>
              <w:t>Te</w:t>
            </w:r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chnology, </w:t>
            </w:r>
            <w:proofErr w:type="spellStart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Huazhong</w:t>
            </w:r>
            <w:proofErr w:type="spellEnd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 Agricultural University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9E3DE6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xli@mail.hzau.edu.cn</w:t>
            </w:r>
            <w:r w:rsidR="00587AC1" w:rsidRPr="003554E4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9E3DE6" w:rsidRDefault="009E3DE6" w:rsidP="00B542E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1 </w:t>
            </w:r>
            <w:proofErr w:type="spellStart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Shizishan</w:t>
            </w:r>
            <w:proofErr w:type="spellEnd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 street, </w:t>
            </w:r>
            <w:proofErr w:type="spellStart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Hongshan</w:t>
            </w:r>
            <w:proofErr w:type="spellEnd"/>
            <w:r w:rsidRPr="000F4F0F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 xml:space="preserve"> District, Wuhan, Hubei 430070, P.R.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6E2F86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+86-13001884686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8A3A3F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9822B9" w:rsidRPr="00946D6C" w:rsidRDefault="009822B9" w:rsidP="006E2F86">
            <w:pPr>
              <w:widowControl/>
              <w:spacing w:line="288" w:lineRule="auto"/>
              <w:ind w:leftChars="-202" w:left="-424" w:firstLineChars="200" w:firstLine="480"/>
              <w:jc w:val="left"/>
              <w:rPr>
                <w:sz w:val="24"/>
              </w:rPr>
            </w:pPr>
            <w:r w:rsidRPr="00946D6C">
              <w:rPr>
                <w:rFonts w:hint="eastAsia"/>
                <w:sz w:val="24"/>
              </w:rPr>
              <w:t>P</w:t>
            </w:r>
            <w:r w:rsidRPr="00946D6C">
              <w:rPr>
                <w:sz w:val="24"/>
              </w:rPr>
              <w:t>lant stress molecular genetics and genetic improvement of stress tolerance</w:t>
            </w:r>
            <w:r w:rsidRPr="00946D6C">
              <w:rPr>
                <w:rFonts w:hint="eastAsia"/>
                <w:sz w:val="24"/>
              </w:rPr>
              <w:t>;</w:t>
            </w:r>
          </w:p>
          <w:p w:rsidR="009822B9" w:rsidRPr="00946D6C" w:rsidRDefault="009822B9" w:rsidP="006E2F86">
            <w:pPr>
              <w:widowControl/>
              <w:spacing w:line="288" w:lineRule="auto"/>
              <w:ind w:leftChars="-202" w:left="-424" w:firstLineChars="200" w:firstLine="480"/>
              <w:jc w:val="left"/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6D6C">
                  <w:rPr>
                    <w:rFonts w:hint="eastAsia"/>
                    <w:sz w:val="24"/>
                  </w:rPr>
                  <w:t>ABA</w:t>
                </w:r>
              </w:smartTag>
            </w:smartTag>
            <w:r w:rsidRPr="00946D6C">
              <w:rPr>
                <w:rFonts w:hint="eastAsia"/>
                <w:sz w:val="24"/>
              </w:rPr>
              <w:t xml:space="preserve"> signaling transduction pathway;</w:t>
            </w:r>
          </w:p>
          <w:p w:rsidR="009822B9" w:rsidRPr="00946D6C" w:rsidRDefault="009822B9" w:rsidP="006E2F86">
            <w:pPr>
              <w:widowControl/>
              <w:spacing w:line="288" w:lineRule="auto"/>
              <w:ind w:leftChars="-202" w:left="-424" w:firstLineChars="200" w:firstLine="480"/>
              <w:jc w:val="left"/>
              <w:rPr>
                <w:sz w:val="24"/>
              </w:rPr>
            </w:pPr>
            <w:r w:rsidRPr="00946D6C">
              <w:rPr>
                <w:rFonts w:hint="eastAsia"/>
                <w:sz w:val="24"/>
              </w:rPr>
              <w:t>R</w:t>
            </w:r>
            <w:r w:rsidRPr="00946D6C">
              <w:rPr>
                <w:sz w:val="24"/>
              </w:rPr>
              <w:t>o</w:t>
            </w:r>
            <w:r w:rsidRPr="00946D6C">
              <w:rPr>
                <w:rFonts w:hint="eastAsia"/>
                <w:sz w:val="24"/>
              </w:rPr>
              <w:t>ot developmental plasticity in response to environmental stimuli;</w:t>
            </w:r>
          </w:p>
          <w:p w:rsidR="009822B9" w:rsidRPr="00946D6C" w:rsidRDefault="009822B9" w:rsidP="006E2F86">
            <w:pPr>
              <w:widowControl/>
              <w:spacing w:line="288" w:lineRule="auto"/>
              <w:ind w:leftChars="-202" w:left="-424" w:firstLineChars="200" w:firstLine="480"/>
              <w:jc w:val="left"/>
              <w:rPr>
                <w:sz w:val="24"/>
              </w:rPr>
            </w:pPr>
            <w:r w:rsidRPr="00946D6C">
              <w:rPr>
                <w:rFonts w:hint="eastAsia"/>
                <w:sz w:val="24"/>
              </w:rPr>
              <w:t>Soybean nodulation and nitrogen fixation efficiency regulation;</w:t>
            </w:r>
          </w:p>
          <w:p w:rsidR="00587AC1" w:rsidRPr="009822B9" w:rsidRDefault="009822B9" w:rsidP="006E2F86">
            <w:pPr>
              <w:jc w:val="left"/>
              <w:rPr>
                <w:sz w:val="24"/>
              </w:rPr>
            </w:pPr>
            <w:r w:rsidRPr="009822B9">
              <w:rPr>
                <w:rFonts w:hint="eastAsia"/>
                <w:sz w:val="24"/>
              </w:rPr>
              <w:t>Genetic control of soybean plant architecture and yield</w:t>
            </w: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587AC1" w:rsidRPr="00587AC1" w:rsidRDefault="00494409" w:rsidP="00494409">
            <w:pPr>
              <w:pStyle w:val="a6"/>
              <w:ind w:left="42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Member of A</w:t>
            </w:r>
            <w:r w:rsidRPr="00494409">
              <w:rPr>
                <w:sz w:val="24"/>
              </w:rPr>
              <w:t xml:space="preserve">merican </w:t>
            </w:r>
            <w:r>
              <w:rPr>
                <w:rFonts w:hint="eastAsia"/>
                <w:sz w:val="24"/>
              </w:rPr>
              <w:t>S</w:t>
            </w:r>
            <w:r w:rsidRPr="00494409">
              <w:rPr>
                <w:sz w:val="24"/>
              </w:rPr>
              <w:t xml:space="preserve">ociety of </w:t>
            </w:r>
            <w:r>
              <w:rPr>
                <w:rFonts w:hint="eastAsia"/>
                <w:sz w:val="24"/>
              </w:rPr>
              <w:t>P</w:t>
            </w:r>
            <w:r w:rsidRPr="00494409">
              <w:rPr>
                <w:sz w:val="24"/>
              </w:rPr>
              <w:t xml:space="preserve">lant </w:t>
            </w:r>
            <w:r>
              <w:rPr>
                <w:rFonts w:hint="eastAsia"/>
                <w:sz w:val="24"/>
              </w:rPr>
              <w:t>B</w:t>
            </w:r>
            <w:r w:rsidRPr="00494409">
              <w:rPr>
                <w:sz w:val="24"/>
              </w:rPr>
              <w:t>iologists</w:t>
            </w: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9822B9" w:rsidRPr="00946D6C" w:rsidRDefault="009822B9" w:rsidP="009822B9">
            <w:pPr>
              <w:rPr>
                <w:sz w:val="24"/>
              </w:rPr>
            </w:pPr>
            <w:r w:rsidRPr="00946D6C">
              <w:rPr>
                <w:sz w:val="24"/>
              </w:rPr>
              <w:t>E</w:t>
            </w:r>
            <w:r w:rsidRPr="00946D6C">
              <w:rPr>
                <w:rFonts w:hint="eastAsia"/>
                <w:sz w:val="24"/>
              </w:rPr>
              <w:t xml:space="preserve">ducation 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1981-1985 B.S. Biology,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Hebei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Normal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>, P.R. China</w:t>
            </w:r>
          </w:p>
          <w:p w:rsidR="009822B9" w:rsidRPr="00946D6C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1988</w:t>
            </w:r>
            <w:smartTag w:uri="urn:schemas-microsoft-com:office:smarttags" w:element="chmetcnv">
              <w:smartTagPr>
                <w:attr w:name="UnitName" w:val="m"/>
                <w:attr w:name="SourceValue" w:val="1991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-1991 M</w:t>
              </w:r>
            </w:smartTag>
            <w:r>
              <w:rPr>
                <w:rFonts w:hint="eastAsia"/>
                <w:sz w:val="24"/>
              </w:rPr>
              <w:t xml:space="preserve">.S. Plant Physiology,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Hebei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Normal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>, P.R. China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1998-2001 Ph.D. Plant Molecular Genetics,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</w:rPr>
                  <w:t>Purdue University</w:t>
                </w:r>
              </w:smartTag>
              <w:r>
                <w:rPr>
                  <w:rFonts w:hint="eastAsia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</w:rPr>
                  <w:t>USA</w:t>
                </w:r>
              </w:smartTag>
            </w:smartTag>
          </w:p>
          <w:p w:rsidR="009822B9" w:rsidRDefault="009822B9" w:rsidP="009822B9">
            <w:pPr>
              <w:rPr>
                <w:sz w:val="24"/>
              </w:rPr>
            </w:pP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Working Experience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1985-1988  Instructor,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Hebei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Normal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>, P.R. China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1991-1995  Lecturer,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Hebei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Normal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>, P.R. China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1995-1997  Visiting scholar,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</w:rPr>
                  <w:t>Purdue University</w:t>
                </w:r>
              </w:smartTag>
              <w:r>
                <w:rPr>
                  <w:rFonts w:hint="eastAsia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</w:rPr>
                  <w:t>USA</w:t>
                </w:r>
              </w:smartTag>
            </w:smartTag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2001-2004  Research scientist, Vector Tobacco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24"/>
                  </w:rPr>
                  <w:t>USA</w:t>
                </w:r>
              </w:smartTag>
            </w:smartTag>
          </w:p>
          <w:p w:rsidR="009822B9" w:rsidRDefault="009822B9" w:rsidP="003D02ED">
            <w:pPr>
              <w:ind w:left="1560" w:hangingChars="650" w:hanging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2004-2015  Principal Investigator, Institute of Genetics &amp; Developmental Biology, Chinese Academy of Sciences</w:t>
            </w:r>
          </w:p>
          <w:p w:rsidR="009822B9" w:rsidRDefault="009822B9" w:rsidP="00982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2015-present Professor,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Huazhong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Agricultural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>, P.R. China</w:t>
            </w:r>
          </w:p>
          <w:p w:rsidR="00752892" w:rsidRPr="00752892" w:rsidRDefault="00752892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</w:t>
            </w:r>
            <w:r w:rsidRPr="00E87817">
              <w:rPr>
                <w:color w:val="333333"/>
                <w:sz w:val="24"/>
              </w:rPr>
              <w:t>)</w:t>
            </w:r>
            <w:r>
              <w:rPr>
                <w:rFonts w:hint="eastAsia"/>
                <w:color w:val="333333"/>
                <w:sz w:val="24"/>
              </w:rPr>
              <w:t xml:space="preserve"> </w:t>
            </w:r>
            <w:r w:rsidRPr="00E87817">
              <w:rPr>
                <w:color w:val="333333"/>
                <w:sz w:val="24"/>
              </w:rPr>
              <w:t xml:space="preserve">Wang ZJ,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HT, Yuan </w:t>
            </w:r>
            <w:r>
              <w:rPr>
                <w:color w:val="333333"/>
                <w:sz w:val="24"/>
              </w:rPr>
              <w:t>BJ, Wang SF, Yao BJ, Su C, Li X</w:t>
            </w:r>
            <w:r w:rsidRPr="00E87817">
              <w:rPr>
                <w:color w:val="333333"/>
                <w:sz w:val="24"/>
              </w:rPr>
              <w:t xml:space="preserve">. (2015). Alternative splicing of HAB1 controlled by </w:t>
            </w:r>
            <w:r w:rsidRPr="00494409">
              <w:rPr>
                <w:sz w:val="24"/>
              </w:rPr>
              <w:t xml:space="preserve">RBM25 differentially regulates ABA signaling during seed germination and </w:t>
            </w:r>
            <w:proofErr w:type="spellStart"/>
            <w:r w:rsidRPr="00494409">
              <w:rPr>
                <w:sz w:val="24"/>
              </w:rPr>
              <w:t>postgerminative</w:t>
            </w:r>
            <w:proofErr w:type="spellEnd"/>
            <w:r w:rsidRPr="00494409">
              <w:rPr>
                <w:sz w:val="24"/>
              </w:rPr>
              <w:t xml:space="preserve"> growth. Nature Communic</w:t>
            </w:r>
            <w:r w:rsidRPr="00E87817">
              <w:rPr>
                <w:color w:val="333333"/>
                <w:sz w:val="24"/>
              </w:rPr>
              <w:t>ations</w:t>
            </w:r>
            <w:r w:rsidR="00F86501">
              <w:rPr>
                <w:rFonts w:hint="eastAsia"/>
                <w:color w:val="333333"/>
                <w:sz w:val="24"/>
              </w:rPr>
              <w:t xml:space="preserve"> 6, 8138</w:t>
            </w:r>
            <w:r w:rsidRPr="00E87817">
              <w:rPr>
                <w:color w:val="333333"/>
                <w:sz w:val="24"/>
              </w:rPr>
              <w:t>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(2)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HT, Wang YN, </w:t>
            </w:r>
            <w:proofErr w:type="spellStart"/>
            <w:r w:rsidRPr="00E87817">
              <w:rPr>
                <w:color w:val="333333"/>
                <w:sz w:val="24"/>
              </w:rPr>
              <w:t>Cloix</w:t>
            </w:r>
            <w:proofErr w:type="spellEnd"/>
            <w:r w:rsidRPr="00E87817">
              <w:rPr>
                <w:color w:val="333333"/>
                <w:sz w:val="24"/>
              </w:rPr>
              <w:t xml:space="preserve"> C, Li KX, Jenkins JI, Wang SF, Shang ZL, Shi Y, Yang SH</w:t>
            </w:r>
            <w:r>
              <w:rPr>
                <w:color w:val="333333"/>
                <w:sz w:val="24"/>
              </w:rPr>
              <w:t>, Li X</w:t>
            </w:r>
            <w:r w:rsidRPr="00E87817">
              <w:rPr>
                <w:color w:val="333333"/>
                <w:sz w:val="24"/>
              </w:rPr>
              <w:t>. (2015). The Arabidopsis RCC1 family protein TCF1 regulates freezing tolerance and cold acclimation through modulating lignin biosynthe</w:t>
            </w:r>
            <w:bookmarkStart w:id="0" w:name="_GoBack"/>
            <w:bookmarkEnd w:id="0"/>
            <w:r w:rsidRPr="00E87817">
              <w:rPr>
                <w:color w:val="333333"/>
                <w:sz w:val="24"/>
              </w:rPr>
              <w:t xml:space="preserve">sis. </w:t>
            </w:r>
            <w:proofErr w:type="spellStart"/>
            <w:r w:rsidRPr="00E87817">
              <w:rPr>
                <w:color w:val="333333"/>
                <w:sz w:val="24"/>
              </w:rPr>
              <w:t>PLoS</w:t>
            </w:r>
            <w:proofErr w:type="spellEnd"/>
            <w:r w:rsidRPr="00E87817">
              <w:rPr>
                <w:color w:val="333333"/>
                <w:sz w:val="24"/>
              </w:rPr>
              <w:t xml:space="preserve"> Genetics 11: e1005471.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(3) </w:t>
            </w:r>
            <w:smartTag w:uri="urn:schemas-microsoft-com:office:smarttags" w:element="PersonName">
              <w:smartTagPr>
                <w:attr w:name="ProductID" w:val="Cao D"/>
              </w:smartTagPr>
              <w:r w:rsidRPr="00E87817">
                <w:rPr>
                  <w:color w:val="333333"/>
                  <w:sz w:val="24"/>
                </w:rPr>
                <w:t>Cao D</w:t>
              </w:r>
            </w:smartTag>
            <w:r w:rsidRPr="00E87817">
              <w:rPr>
                <w:color w:val="333333"/>
                <w:sz w:val="24"/>
              </w:rPr>
              <w:t>, Li Y, Wang Y, Nan H, Wang Y, Lu S, Jiang Q, Li X, Shi D, Fang C, Yuan X</w:t>
            </w:r>
            <w:r>
              <w:rPr>
                <w:color w:val="333333"/>
                <w:sz w:val="24"/>
              </w:rPr>
              <w:t>, Zhao X, Li X, Liu B, Kong F</w:t>
            </w:r>
            <w:r w:rsidRPr="00E87817">
              <w:rPr>
                <w:color w:val="333333"/>
                <w:sz w:val="24"/>
              </w:rPr>
              <w:t xml:space="preserve">. (2015) GmmiR156b overexpression delays flowering time in soybean. Plant Molecular Biology DOI 10.1007/S11103-015-0371-5.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(4) Wang YN, Li KX, Zhang SL, Chen L, </w:t>
            </w:r>
            <w:proofErr w:type="spellStart"/>
            <w:r w:rsidRPr="00E87817">
              <w:rPr>
                <w:color w:val="333333"/>
                <w:sz w:val="24"/>
              </w:rPr>
              <w:t>Zou</w:t>
            </w:r>
            <w:proofErr w:type="spellEnd"/>
            <w:r w:rsidRPr="00E87817">
              <w:rPr>
                <w:color w:val="333333"/>
                <w:sz w:val="24"/>
              </w:rPr>
              <w:t xml:space="preserve"> YM, Liu HP, Li DX, Wang R, </w:t>
            </w:r>
            <w:proofErr w:type="spellStart"/>
            <w:r w:rsidRPr="00E87817">
              <w:rPr>
                <w:color w:val="333333"/>
                <w:sz w:val="24"/>
              </w:rPr>
              <w:t>Tian</w:t>
            </w:r>
            <w:proofErr w:type="spellEnd"/>
            <w:r w:rsidRPr="00E87817">
              <w:rPr>
                <w:color w:val="333333"/>
                <w:sz w:val="24"/>
              </w:rPr>
              <w:t xml:space="preserve"> YP, Zhao F, Ferguson B</w:t>
            </w:r>
            <w:r>
              <w:rPr>
                <w:color w:val="333333"/>
                <w:sz w:val="24"/>
              </w:rPr>
              <w:t xml:space="preserve">J, </w:t>
            </w:r>
            <w:proofErr w:type="spellStart"/>
            <w:r>
              <w:rPr>
                <w:color w:val="333333"/>
                <w:sz w:val="24"/>
              </w:rPr>
              <w:t>Gresshoff</w:t>
            </w:r>
            <w:proofErr w:type="spellEnd"/>
            <w:r>
              <w:rPr>
                <w:color w:val="333333"/>
                <w:sz w:val="24"/>
              </w:rPr>
              <w:t xml:space="preserve"> PM, Li X</w:t>
            </w:r>
            <w:r w:rsidRPr="00E87817">
              <w:rPr>
                <w:color w:val="333333"/>
                <w:sz w:val="24"/>
              </w:rPr>
              <w:t xml:space="preserve">. (2015). MicroRNA167-directed regulation of the </w:t>
            </w:r>
            <w:proofErr w:type="spellStart"/>
            <w:r w:rsidRPr="00E87817">
              <w:rPr>
                <w:color w:val="333333"/>
                <w:sz w:val="24"/>
              </w:rPr>
              <w:t>auxin</w:t>
            </w:r>
            <w:proofErr w:type="spellEnd"/>
            <w:r w:rsidRPr="00E87817">
              <w:rPr>
                <w:color w:val="333333"/>
                <w:sz w:val="24"/>
              </w:rPr>
              <w:t xml:space="preserve"> response factors, GmARF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E87817">
                <w:rPr>
                  <w:color w:val="333333"/>
                  <w:sz w:val="24"/>
                </w:rPr>
                <w:t>8a</w:t>
              </w:r>
            </w:smartTag>
            <w:r w:rsidRPr="00E87817">
              <w:rPr>
                <w:color w:val="333333"/>
                <w:sz w:val="24"/>
              </w:rPr>
              <w:t xml:space="preserve"> and GmARF8b, is required for soybean (Glycine max L.) nodulation and lateral root development. Plant Physiology 168: 101-116.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(5) Wang Y, Wang L, </w:t>
            </w:r>
            <w:proofErr w:type="spellStart"/>
            <w:r w:rsidRPr="00E87817">
              <w:rPr>
                <w:color w:val="333333"/>
                <w:sz w:val="24"/>
              </w:rPr>
              <w:t>Zou</w:t>
            </w:r>
            <w:proofErr w:type="spellEnd"/>
            <w:r w:rsidRPr="00E87817">
              <w:rPr>
                <w:color w:val="333333"/>
                <w:sz w:val="24"/>
              </w:rPr>
              <w:t xml:space="preserve"> Y, Chen L, </w:t>
            </w:r>
            <w:proofErr w:type="spellStart"/>
            <w:r w:rsidRPr="00E87817">
              <w:rPr>
                <w:color w:val="333333"/>
                <w:sz w:val="24"/>
              </w:rPr>
              <w:t>Cai</w:t>
            </w:r>
            <w:proofErr w:type="spellEnd"/>
            <w:r w:rsidRPr="00E87817">
              <w:rPr>
                <w:color w:val="333333"/>
                <w:sz w:val="24"/>
              </w:rPr>
              <w:t xml:space="preserve"> Z, Zhang S, Zhao F, </w:t>
            </w:r>
            <w:proofErr w:type="spellStart"/>
            <w:r w:rsidRPr="00E87817">
              <w:rPr>
                <w:color w:val="333333"/>
                <w:sz w:val="24"/>
              </w:rPr>
              <w:t>Tian</w:t>
            </w:r>
            <w:proofErr w:type="spellEnd"/>
            <w:r w:rsidRPr="00E87817">
              <w:rPr>
                <w:color w:val="333333"/>
                <w:sz w:val="24"/>
              </w:rPr>
              <w:t xml:space="preserve"> Y, Jiang Q</w:t>
            </w:r>
            <w:r>
              <w:rPr>
                <w:color w:val="333333"/>
                <w:sz w:val="24"/>
              </w:rPr>
              <w:t xml:space="preserve">, Ferguson B, </w:t>
            </w:r>
            <w:proofErr w:type="spellStart"/>
            <w:r>
              <w:rPr>
                <w:color w:val="333333"/>
                <w:sz w:val="24"/>
              </w:rPr>
              <w:t>Gresshoff</w:t>
            </w:r>
            <w:proofErr w:type="spellEnd"/>
            <w:r>
              <w:rPr>
                <w:color w:val="333333"/>
                <w:sz w:val="24"/>
              </w:rPr>
              <w:t xml:space="preserve"> P, Li X</w:t>
            </w:r>
            <w:r w:rsidRPr="00E87817">
              <w:rPr>
                <w:color w:val="333333"/>
                <w:sz w:val="24"/>
              </w:rPr>
              <w:t>. (2014) Soybean miR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2"/>
                <w:attr w:name="UnitName" w:val="C"/>
              </w:smartTagPr>
              <w:r w:rsidRPr="00E87817">
                <w:rPr>
                  <w:color w:val="333333"/>
                  <w:sz w:val="24"/>
                </w:rPr>
                <w:t>172c</w:t>
              </w:r>
            </w:smartTag>
            <w:r w:rsidRPr="00E87817">
              <w:rPr>
                <w:color w:val="333333"/>
                <w:sz w:val="24"/>
              </w:rPr>
              <w:t xml:space="preserve"> targets the repressive AP2 transcription factor NNC1 to activate ENOD40 expression and regulate nodule initiation. Plant Cell 26: 4782-4801.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(6)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H, Wang S, </w:t>
            </w:r>
            <w:r>
              <w:rPr>
                <w:color w:val="333333"/>
                <w:sz w:val="24"/>
              </w:rPr>
              <w:t xml:space="preserve">Li K, </w:t>
            </w:r>
            <w:proofErr w:type="spellStart"/>
            <w:r>
              <w:rPr>
                <w:color w:val="333333"/>
                <w:sz w:val="24"/>
              </w:rPr>
              <w:t>Szakonyi</w:t>
            </w:r>
            <w:proofErr w:type="spellEnd"/>
            <w:r>
              <w:rPr>
                <w:color w:val="333333"/>
                <w:sz w:val="24"/>
              </w:rPr>
              <w:t xml:space="preserve"> D, </w:t>
            </w:r>
            <w:proofErr w:type="spellStart"/>
            <w:r>
              <w:rPr>
                <w:color w:val="333333"/>
                <w:sz w:val="24"/>
              </w:rPr>
              <w:t>Koncz</w:t>
            </w:r>
            <w:proofErr w:type="spellEnd"/>
            <w:r>
              <w:rPr>
                <w:color w:val="333333"/>
                <w:sz w:val="24"/>
              </w:rPr>
              <w:t xml:space="preserve"> C, Li X</w:t>
            </w:r>
            <w:r w:rsidRPr="00E87817">
              <w:rPr>
                <w:color w:val="333333"/>
                <w:sz w:val="24"/>
              </w:rPr>
              <w:t>. (2014) PRL1 modulates root stem cell niche activity and meristem size through WOX5 and PLTs in Arabidopsis. Plant Journal 81: 399-412.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 xml:space="preserve">(7)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H, Liu L, Li</w:t>
            </w:r>
            <w:r>
              <w:rPr>
                <w:color w:val="333333"/>
                <w:sz w:val="24"/>
              </w:rPr>
              <w:t xml:space="preserve"> K, </w:t>
            </w:r>
            <w:proofErr w:type="spellStart"/>
            <w:r>
              <w:rPr>
                <w:color w:val="333333"/>
                <w:sz w:val="24"/>
              </w:rPr>
              <w:t>Xie</w:t>
            </w:r>
            <w:proofErr w:type="spellEnd"/>
            <w:r>
              <w:rPr>
                <w:color w:val="333333"/>
                <w:sz w:val="24"/>
              </w:rPr>
              <w:t xml:space="preserve"> Q, Wang Z, Zhao X, Li X</w:t>
            </w:r>
            <w:r w:rsidRPr="00E87817">
              <w:rPr>
                <w:color w:val="333333"/>
                <w:sz w:val="24"/>
              </w:rPr>
              <w:t xml:space="preserve">. (2014) PEG-mediated osmotic stress induces premature differentiation of the root apical meristem and outgrowth of lateral roots in wheat. Journal of Experimental Botany 65: 4863-4872.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  <w:lang w:val="nl-NL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8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Luo</w:t>
            </w:r>
            <w:proofErr w:type="spellEnd"/>
            <w:r w:rsidRPr="00E87817">
              <w:rPr>
                <w:color w:val="333333"/>
                <w:sz w:val="24"/>
              </w:rPr>
              <w:t xml:space="preserve"> Y, Wang Z,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H, Fang H, Wang S, </w:t>
            </w:r>
            <w:proofErr w:type="spellStart"/>
            <w:r>
              <w:rPr>
                <w:color w:val="333333"/>
                <w:sz w:val="24"/>
              </w:rPr>
              <w:t>Tian</w:t>
            </w:r>
            <w:proofErr w:type="spellEnd"/>
            <w:r>
              <w:rPr>
                <w:color w:val="333333"/>
                <w:sz w:val="24"/>
              </w:rPr>
              <w:t xml:space="preserve"> L, Li X</w:t>
            </w:r>
            <w:r w:rsidRPr="00E87817">
              <w:rPr>
                <w:color w:val="333333"/>
                <w:sz w:val="24"/>
              </w:rPr>
              <w:t xml:space="preserve">. (2013) An Arabidopsis homolog of </w:t>
            </w:r>
            <w:proofErr w:type="spellStart"/>
            <w:r w:rsidRPr="00E87817">
              <w:rPr>
                <w:color w:val="333333"/>
                <w:sz w:val="24"/>
              </w:rPr>
              <w:t>importin</w:t>
            </w:r>
            <w:proofErr w:type="spellEnd"/>
            <w:r w:rsidRPr="00E87817">
              <w:rPr>
                <w:color w:val="333333"/>
                <w:sz w:val="24"/>
              </w:rPr>
              <w:t xml:space="preserve"> beta 1 is required for </w:t>
            </w:r>
            <w:smartTag w:uri="urn:schemas-microsoft-com:office:smarttags" w:element="City">
              <w:smartTag w:uri="urn:schemas-microsoft-com:office:smarttags" w:element="place">
                <w:r w:rsidRPr="00E87817">
                  <w:rPr>
                    <w:color w:val="333333"/>
                    <w:sz w:val="24"/>
                  </w:rPr>
                  <w:t>ABA</w:t>
                </w:r>
              </w:smartTag>
            </w:smartTag>
            <w:r w:rsidRPr="00E87817">
              <w:rPr>
                <w:color w:val="333333"/>
                <w:sz w:val="24"/>
              </w:rPr>
              <w:t xml:space="preserve"> response and drought tolerance. </w:t>
            </w:r>
            <w:r w:rsidRPr="00E87817">
              <w:rPr>
                <w:color w:val="333333"/>
                <w:sz w:val="24"/>
                <w:lang w:val="nl-NL"/>
              </w:rPr>
              <w:t>Plant Journal 75: 377-389.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9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Peng</w:t>
            </w:r>
            <w:proofErr w:type="spellEnd"/>
            <w:r w:rsidRPr="00E87817">
              <w:rPr>
                <w:color w:val="333333"/>
                <w:sz w:val="24"/>
              </w:rPr>
              <w:t xml:space="preserve"> Y, Ma W, Chen L, Yang L, Li S, Zhao H, Zhao Y, Jin W, Li N, Bevan MW, Li X, Tong Y, Li Y. (2013) Control of root meristem size by DA1-related protein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in"/>
              </w:smartTagPr>
              <w:r w:rsidRPr="00E87817">
                <w:rPr>
                  <w:color w:val="333333"/>
                  <w:sz w:val="24"/>
                </w:rPr>
                <w:t>2 in</w:t>
              </w:r>
            </w:smartTag>
            <w:r w:rsidRPr="00E87817">
              <w:rPr>
                <w:color w:val="333333"/>
                <w:sz w:val="24"/>
              </w:rPr>
              <w:t xml:space="preserve"> Arabidopsis thaliana. Plant Physiology 16: 1542-1556.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(1</w:t>
            </w:r>
            <w:r>
              <w:rPr>
                <w:rFonts w:hint="eastAsia"/>
                <w:color w:val="333333"/>
                <w:sz w:val="24"/>
              </w:rPr>
              <w:t>0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Ji</w:t>
            </w:r>
            <w:proofErr w:type="spellEnd"/>
            <w:r w:rsidRPr="00E87817">
              <w:rPr>
                <w:color w:val="333333"/>
                <w:sz w:val="24"/>
              </w:rPr>
              <w:t xml:space="preserve"> H, </w:t>
            </w:r>
            <w:proofErr w:type="spellStart"/>
            <w:r w:rsidRPr="00E87817">
              <w:rPr>
                <w:color w:val="333333"/>
                <w:sz w:val="24"/>
              </w:rPr>
              <w:t>Pardo</w:t>
            </w:r>
            <w:proofErr w:type="spellEnd"/>
            <w:r w:rsidRPr="00E87817">
              <w:rPr>
                <w:color w:val="333333"/>
                <w:sz w:val="24"/>
              </w:rPr>
              <w:t xml:space="preserve"> JM, </w:t>
            </w:r>
            <w:proofErr w:type="spellStart"/>
            <w:r w:rsidRPr="00E87817">
              <w:rPr>
                <w:color w:val="333333"/>
                <w:sz w:val="24"/>
              </w:rPr>
              <w:t>Batelli</w:t>
            </w:r>
            <w:proofErr w:type="spellEnd"/>
            <w:r w:rsidRPr="00E87817">
              <w:rPr>
                <w:color w:val="333333"/>
                <w:sz w:val="24"/>
              </w:rPr>
              <w:t xml:space="preserve"> G, </w:t>
            </w:r>
            <w:r>
              <w:rPr>
                <w:color w:val="333333"/>
                <w:sz w:val="24"/>
              </w:rPr>
              <w:t xml:space="preserve">Van </w:t>
            </w:r>
            <w:proofErr w:type="spellStart"/>
            <w:r>
              <w:rPr>
                <w:color w:val="333333"/>
                <w:sz w:val="24"/>
              </w:rPr>
              <w:t>Oosten</w:t>
            </w:r>
            <w:proofErr w:type="spellEnd"/>
            <w:r>
              <w:rPr>
                <w:color w:val="333333"/>
                <w:sz w:val="24"/>
              </w:rPr>
              <w:t xml:space="preserve"> MJ, </w:t>
            </w:r>
            <w:proofErr w:type="spellStart"/>
            <w:r>
              <w:rPr>
                <w:color w:val="333333"/>
                <w:sz w:val="24"/>
              </w:rPr>
              <w:t>Bressan</w:t>
            </w:r>
            <w:proofErr w:type="spellEnd"/>
            <w:r>
              <w:rPr>
                <w:color w:val="333333"/>
                <w:sz w:val="24"/>
              </w:rPr>
              <w:t xml:space="preserve"> RA, Li X</w:t>
            </w:r>
            <w:r w:rsidRPr="00E87817">
              <w:rPr>
                <w:color w:val="333333"/>
                <w:sz w:val="24"/>
              </w:rPr>
              <w:t xml:space="preserve">. (2013) The salt overly </w:t>
            </w:r>
            <w:r w:rsidRPr="00E87817">
              <w:rPr>
                <w:color w:val="333333"/>
                <w:sz w:val="24"/>
              </w:rPr>
              <w:lastRenderedPageBreak/>
              <w:t>sensitive (SOS) pathway: established and emerging roles. Molecular Plant 6: 275-286.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(1</w:t>
            </w:r>
            <w:r>
              <w:rPr>
                <w:rFonts w:hint="eastAsia"/>
                <w:color w:val="333333"/>
                <w:sz w:val="24"/>
              </w:rPr>
              <w:t>1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Hao</w:t>
            </w:r>
            <w:proofErr w:type="spellEnd"/>
            <w:r w:rsidRPr="00E87817">
              <w:rPr>
                <w:color w:val="333333"/>
                <w:sz w:val="24"/>
              </w:rPr>
              <w:t xml:space="preserve"> L, Wang W, Chen C, Wang Y, Liu T, Li X, Shang Z. (2012) Extracellular ATP promotes </w:t>
            </w:r>
            <w:proofErr w:type="spellStart"/>
            <w:r w:rsidRPr="00E87817">
              <w:rPr>
                <w:color w:val="333333"/>
                <w:sz w:val="24"/>
              </w:rPr>
              <w:t>stomatal</w:t>
            </w:r>
            <w:proofErr w:type="spellEnd"/>
            <w:r w:rsidRPr="00E87817">
              <w:rPr>
                <w:color w:val="333333"/>
                <w:sz w:val="24"/>
              </w:rPr>
              <w:t xml:space="preserve"> opening of Arabidopsis thaliana through </w:t>
            </w:r>
            <w:proofErr w:type="spellStart"/>
            <w:r w:rsidRPr="00E87817">
              <w:rPr>
                <w:color w:val="333333"/>
                <w:sz w:val="24"/>
              </w:rPr>
              <w:t>heterotrimeric</w:t>
            </w:r>
            <w:proofErr w:type="spellEnd"/>
            <w:r w:rsidRPr="00E87817">
              <w:rPr>
                <w:color w:val="333333"/>
                <w:sz w:val="24"/>
              </w:rPr>
              <w:t xml:space="preserve"> G protein a subunit and reactive oxygen species. Molecular Plant 5: 852-864.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(1</w:t>
            </w:r>
            <w:r>
              <w:rPr>
                <w:rFonts w:hint="eastAsia"/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>) Zhao Y, Wang T, Zhang W, Li X</w:t>
            </w:r>
            <w:r w:rsidRPr="00E87817">
              <w:rPr>
                <w:color w:val="333333"/>
                <w:sz w:val="24"/>
              </w:rPr>
              <w:t xml:space="preserve">. (2011) SOS3 mediates lateral root development under low salt stress through regulation of </w:t>
            </w:r>
            <w:proofErr w:type="spellStart"/>
            <w:r w:rsidRPr="00E87817">
              <w:rPr>
                <w:color w:val="333333"/>
                <w:sz w:val="24"/>
              </w:rPr>
              <w:t>auxin</w:t>
            </w:r>
            <w:proofErr w:type="spellEnd"/>
            <w:r w:rsidRPr="00E87817">
              <w:rPr>
                <w:color w:val="333333"/>
                <w:sz w:val="24"/>
              </w:rPr>
              <w:t xml:space="preserve"> redistribution and maxima in Arabidopsis. New </w:t>
            </w:r>
            <w:proofErr w:type="spellStart"/>
            <w:r w:rsidRPr="00E87817">
              <w:rPr>
                <w:color w:val="333333"/>
                <w:sz w:val="24"/>
              </w:rPr>
              <w:t>Phytologist</w:t>
            </w:r>
            <w:proofErr w:type="spellEnd"/>
            <w:r w:rsidRPr="00E87817">
              <w:rPr>
                <w:color w:val="333333"/>
                <w:sz w:val="24"/>
              </w:rPr>
              <w:t xml:space="preserve"> 189: 1122-1134.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13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Orsini</w:t>
            </w:r>
            <w:proofErr w:type="spellEnd"/>
            <w:r w:rsidRPr="00E87817">
              <w:rPr>
                <w:color w:val="333333"/>
                <w:sz w:val="24"/>
              </w:rPr>
              <w:t xml:space="preserve"> F, </w:t>
            </w:r>
            <w:proofErr w:type="spellStart"/>
            <w:r w:rsidRPr="00E87817">
              <w:rPr>
                <w:color w:val="333333"/>
                <w:sz w:val="24"/>
              </w:rPr>
              <w:t>D'Urzo</w:t>
            </w:r>
            <w:proofErr w:type="spellEnd"/>
            <w:r w:rsidRPr="00E87817">
              <w:rPr>
                <w:color w:val="333333"/>
                <w:sz w:val="24"/>
              </w:rPr>
              <w:t xml:space="preserve"> MP, </w:t>
            </w:r>
            <w:proofErr w:type="spellStart"/>
            <w:r w:rsidRPr="00E87817">
              <w:rPr>
                <w:color w:val="333333"/>
                <w:sz w:val="24"/>
              </w:rPr>
              <w:t>Inan</w:t>
            </w:r>
            <w:proofErr w:type="spellEnd"/>
            <w:r w:rsidRPr="00E87817">
              <w:rPr>
                <w:color w:val="333333"/>
                <w:sz w:val="24"/>
              </w:rPr>
              <w:t xml:space="preserve"> G, Serra S, Oh DH, </w:t>
            </w:r>
            <w:proofErr w:type="spellStart"/>
            <w:r w:rsidRPr="00E87817">
              <w:rPr>
                <w:color w:val="333333"/>
                <w:sz w:val="24"/>
              </w:rPr>
              <w:t>Mickelbart</w:t>
            </w:r>
            <w:proofErr w:type="spellEnd"/>
            <w:r w:rsidRPr="00E87817">
              <w:rPr>
                <w:color w:val="333333"/>
                <w:sz w:val="24"/>
              </w:rPr>
              <w:t xml:space="preserve"> MV, </w:t>
            </w:r>
            <w:proofErr w:type="spellStart"/>
            <w:r w:rsidRPr="00E87817">
              <w:rPr>
                <w:color w:val="333333"/>
                <w:sz w:val="24"/>
              </w:rPr>
              <w:t>Consiglio</w:t>
            </w:r>
            <w:proofErr w:type="spellEnd"/>
            <w:r w:rsidRPr="00E87817">
              <w:rPr>
                <w:color w:val="333333"/>
                <w:sz w:val="24"/>
              </w:rPr>
              <w:t xml:space="preserve"> F, Li X, </w:t>
            </w:r>
            <w:proofErr w:type="spellStart"/>
            <w:r w:rsidRPr="00E87817">
              <w:rPr>
                <w:color w:val="333333"/>
                <w:sz w:val="24"/>
              </w:rPr>
              <w:t>Jeong</w:t>
            </w:r>
            <w:proofErr w:type="spellEnd"/>
            <w:r w:rsidRPr="00E87817">
              <w:rPr>
                <w:color w:val="333333"/>
                <w:sz w:val="24"/>
              </w:rPr>
              <w:t xml:space="preserve"> JC, Yun DJ, </w:t>
            </w:r>
            <w:proofErr w:type="spellStart"/>
            <w:r w:rsidRPr="00E87817">
              <w:rPr>
                <w:color w:val="333333"/>
                <w:sz w:val="24"/>
              </w:rPr>
              <w:t>Bohnert</w:t>
            </w:r>
            <w:proofErr w:type="spellEnd"/>
            <w:r w:rsidRPr="00E87817">
              <w:rPr>
                <w:color w:val="333333"/>
                <w:sz w:val="24"/>
              </w:rPr>
              <w:t xml:space="preserve"> HJ, </w:t>
            </w:r>
            <w:proofErr w:type="spellStart"/>
            <w:r w:rsidRPr="00E87817">
              <w:rPr>
                <w:color w:val="333333"/>
                <w:sz w:val="24"/>
              </w:rPr>
              <w:t>Bressan</w:t>
            </w:r>
            <w:proofErr w:type="spellEnd"/>
            <w:r w:rsidRPr="00E87817">
              <w:rPr>
                <w:color w:val="333333"/>
                <w:sz w:val="24"/>
              </w:rPr>
              <w:t xml:space="preserve"> RA, Maggio A. (2010) A comparative study of salt tolerance parameters in 11 wild relatives of Arabidopsis thaliana. Journal of Experimental Botany 61: 3787–3798.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14</w:t>
            </w:r>
            <w:r>
              <w:rPr>
                <w:color w:val="333333"/>
                <w:sz w:val="24"/>
              </w:rPr>
              <w:t>) Zhao Y, Wang T, Zhang W, Li X</w:t>
            </w:r>
            <w:r w:rsidRPr="00E87817">
              <w:rPr>
                <w:color w:val="333333"/>
                <w:sz w:val="24"/>
              </w:rPr>
              <w:t xml:space="preserve">. (2010) SOS3 mediates lateral root development under low salt stress through regulation of </w:t>
            </w:r>
            <w:proofErr w:type="spellStart"/>
            <w:r w:rsidRPr="00E87817">
              <w:rPr>
                <w:color w:val="333333"/>
                <w:sz w:val="24"/>
              </w:rPr>
              <w:t>auxin</w:t>
            </w:r>
            <w:proofErr w:type="spellEnd"/>
            <w:r w:rsidRPr="00E87817">
              <w:rPr>
                <w:color w:val="333333"/>
                <w:sz w:val="24"/>
              </w:rPr>
              <w:t xml:space="preserve"> redistribution and maxima in Arabidopsis. New </w:t>
            </w:r>
            <w:proofErr w:type="spellStart"/>
            <w:r w:rsidRPr="00E87817">
              <w:rPr>
                <w:color w:val="333333"/>
                <w:sz w:val="24"/>
              </w:rPr>
              <w:t>Phytologist</w:t>
            </w:r>
            <w:proofErr w:type="spellEnd"/>
            <w:r w:rsidRPr="00E87817">
              <w:rPr>
                <w:color w:val="333333"/>
                <w:sz w:val="24"/>
              </w:rPr>
              <w:t xml:space="preserve"> 189: 1122-1134.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15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Duan</w:t>
            </w:r>
            <w:proofErr w:type="spellEnd"/>
            <w:r w:rsidRPr="00E87817">
              <w:rPr>
                <w:color w:val="333333"/>
                <w:sz w:val="24"/>
              </w:rPr>
              <w:t xml:space="preserve"> Y, Zhang W, Li B, Wang </w:t>
            </w:r>
            <w:r>
              <w:rPr>
                <w:color w:val="333333"/>
                <w:sz w:val="24"/>
              </w:rPr>
              <w:t xml:space="preserve">Y, Li K, </w:t>
            </w:r>
            <w:proofErr w:type="spellStart"/>
            <w:r>
              <w:rPr>
                <w:color w:val="333333"/>
                <w:sz w:val="24"/>
              </w:rPr>
              <w:t>Sodmergen</w:t>
            </w:r>
            <w:proofErr w:type="spellEnd"/>
            <w:r>
              <w:rPr>
                <w:color w:val="333333"/>
                <w:sz w:val="24"/>
              </w:rPr>
              <w:t>, Han C, Li X</w:t>
            </w:r>
            <w:r w:rsidRPr="00E87817">
              <w:rPr>
                <w:color w:val="333333"/>
                <w:sz w:val="24"/>
              </w:rPr>
              <w:t xml:space="preserve">. (2010) An ER response pathway mediates programmed cell death of root tip induced by water stress in Arabidopsis. New </w:t>
            </w:r>
            <w:proofErr w:type="spellStart"/>
            <w:r w:rsidRPr="00E87817">
              <w:rPr>
                <w:color w:val="333333"/>
                <w:sz w:val="24"/>
              </w:rPr>
              <w:t>Phytologist</w:t>
            </w:r>
            <w:proofErr w:type="spellEnd"/>
            <w:r w:rsidRPr="00E87817">
              <w:rPr>
                <w:color w:val="333333"/>
                <w:sz w:val="24"/>
              </w:rPr>
              <w:t xml:space="preserve"> 186: 681-95.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16</w:t>
            </w:r>
            <w:r>
              <w:rPr>
                <w:color w:val="333333"/>
                <w:sz w:val="24"/>
              </w:rPr>
              <w:t xml:space="preserve">) </w:t>
            </w:r>
            <w:proofErr w:type="spellStart"/>
            <w:r>
              <w:rPr>
                <w:color w:val="333333"/>
                <w:sz w:val="24"/>
              </w:rPr>
              <w:t>Xie</w:t>
            </w:r>
            <w:proofErr w:type="spellEnd"/>
            <w:r>
              <w:rPr>
                <w:color w:val="333333"/>
                <w:sz w:val="24"/>
              </w:rPr>
              <w:t xml:space="preserve"> Q, Yan X, Liao X, Li X</w:t>
            </w:r>
            <w:r w:rsidRPr="00E87817">
              <w:rPr>
                <w:color w:val="333333"/>
                <w:sz w:val="24"/>
              </w:rPr>
              <w:t xml:space="preserve">. (2009) The arsenic </w:t>
            </w:r>
            <w:proofErr w:type="spellStart"/>
            <w:r w:rsidRPr="00E87817">
              <w:rPr>
                <w:color w:val="333333"/>
                <w:sz w:val="24"/>
              </w:rPr>
              <w:t>hyperaccumulator</w:t>
            </w:r>
            <w:proofErr w:type="spellEnd"/>
            <w:r w:rsidRPr="00E87817">
              <w:rPr>
                <w:color w:val="333333"/>
                <w:sz w:val="24"/>
              </w:rPr>
              <w:t xml:space="preserve"> fern </w:t>
            </w:r>
            <w:proofErr w:type="spellStart"/>
            <w:r w:rsidRPr="00E87817">
              <w:rPr>
                <w:color w:val="333333"/>
                <w:sz w:val="24"/>
              </w:rPr>
              <w:t>Pteris</w:t>
            </w:r>
            <w:proofErr w:type="spellEnd"/>
            <w:r w:rsidRPr="00E87817">
              <w:rPr>
                <w:color w:val="333333"/>
                <w:sz w:val="24"/>
              </w:rPr>
              <w:t xml:space="preserve"> </w:t>
            </w:r>
            <w:proofErr w:type="spellStart"/>
            <w:r w:rsidRPr="00E87817">
              <w:rPr>
                <w:color w:val="333333"/>
                <w:sz w:val="24"/>
              </w:rPr>
              <w:t>vittata</w:t>
            </w:r>
            <w:proofErr w:type="spellEnd"/>
            <w:r w:rsidRPr="00E87817">
              <w:rPr>
                <w:color w:val="333333"/>
                <w:sz w:val="24"/>
              </w:rPr>
              <w:t xml:space="preserve"> L. Environmental Science &amp; Technology 43: 8488</w:t>
            </w:r>
            <w:r>
              <w:rPr>
                <w:color w:val="333333"/>
                <w:sz w:val="24"/>
              </w:rPr>
              <w:t xml:space="preserve">-8495.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17</w:t>
            </w:r>
            <w:r w:rsidRPr="00E87817">
              <w:rPr>
                <w:color w:val="333333"/>
                <w:sz w:val="24"/>
              </w:rPr>
              <w:t xml:space="preserve">) Quist T, </w:t>
            </w:r>
            <w:proofErr w:type="spellStart"/>
            <w:r w:rsidRPr="00E87817">
              <w:rPr>
                <w:color w:val="333333"/>
                <w:sz w:val="24"/>
              </w:rPr>
              <w:t>Sokolchik</w:t>
            </w:r>
            <w:proofErr w:type="spellEnd"/>
            <w:r w:rsidRPr="00E87817">
              <w:rPr>
                <w:color w:val="333333"/>
                <w:sz w:val="24"/>
              </w:rPr>
              <w:t xml:space="preserve"> I, Shi H, </w:t>
            </w:r>
            <w:proofErr w:type="spellStart"/>
            <w:r w:rsidRPr="00E87817">
              <w:rPr>
                <w:color w:val="333333"/>
                <w:sz w:val="24"/>
              </w:rPr>
              <w:t>Joly</w:t>
            </w:r>
            <w:proofErr w:type="spellEnd"/>
            <w:r w:rsidRPr="00E87817">
              <w:rPr>
                <w:color w:val="333333"/>
                <w:sz w:val="24"/>
              </w:rPr>
              <w:t xml:space="preserve"> R, </w:t>
            </w:r>
            <w:proofErr w:type="spellStart"/>
            <w:r w:rsidRPr="00E87817">
              <w:rPr>
                <w:color w:val="333333"/>
                <w:sz w:val="24"/>
              </w:rPr>
              <w:t>Bressan</w:t>
            </w:r>
            <w:proofErr w:type="spellEnd"/>
            <w:r w:rsidRPr="00E87817">
              <w:rPr>
                <w:color w:val="333333"/>
                <w:sz w:val="24"/>
              </w:rPr>
              <w:t xml:space="preserve"> R, Maggio A, </w:t>
            </w:r>
            <w:proofErr w:type="spellStart"/>
            <w:r w:rsidRPr="00E87817">
              <w:rPr>
                <w:color w:val="333333"/>
                <w:sz w:val="24"/>
              </w:rPr>
              <w:t>Nars</w:t>
            </w:r>
            <w:r>
              <w:rPr>
                <w:color w:val="333333"/>
                <w:sz w:val="24"/>
              </w:rPr>
              <w:t>imhan</w:t>
            </w:r>
            <w:proofErr w:type="spellEnd"/>
            <w:r>
              <w:rPr>
                <w:color w:val="333333"/>
                <w:sz w:val="24"/>
              </w:rPr>
              <w:t xml:space="preserve"> M, Li X</w:t>
            </w:r>
            <w:r w:rsidRPr="00E87817">
              <w:rPr>
                <w:color w:val="333333"/>
                <w:sz w:val="24"/>
              </w:rPr>
              <w:t>. (2009) HOS3, an ELO-Like gene, inhibits effects of ABA and implicates a S-1-P/</w:t>
            </w:r>
            <w:proofErr w:type="spellStart"/>
            <w:r w:rsidRPr="00E87817">
              <w:rPr>
                <w:color w:val="333333"/>
                <w:sz w:val="24"/>
              </w:rPr>
              <w:t>Ceramide</w:t>
            </w:r>
            <w:proofErr w:type="spellEnd"/>
            <w:r w:rsidRPr="00E87817">
              <w:rPr>
                <w:color w:val="333333"/>
                <w:sz w:val="24"/>
              </w:rPr>
              <w:t xml:space="preserve"> control system for abiotic stress responses in Arabidopsis thaliana. Molecular Plant 2: 138-151. 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18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Manabe</w:t>
            </w:r>
            <w:proofErr w:type="spellEnd"/>
            <w:r w:rsidRPr="00E87817">
              <w:rPr>
                <w:color w:val="333333"/>
                <w:sz w:val="24"/>
              </w:rPr>
              <w:t xml:space="preserve"> Y, </w:t>
            </w:r>
            <w:proofErr w:type="spellStart"/>
            <w:r w:rsidRPr="00E87817">
              <w:rPr>
                <w:color w:val="333333"/>
                <w:sz w:val="24"/>
              </w:rPr>
              <w:t>Bressan</w:t>
            </w:r>
            <w:proofErr w:type="spellEnd"/>
            <w:r w:rsidRPr="00E87817">
              <w:rPr>
                <w:color w:val="333333"/>
                <w:sz w:val="24"/>
              </w:rPr>
              <w:t xml:space="preserve"> R, Wang T, L</w:t>
            </w:r>
            <w:r>
              <w:rPr>
                <w:color w:val="333333"/>
                <w:sz w:val="24"/>
              </w:rPr>
              <w:t xml:space="preserve">i F, </w:t>
            </w:r>
            <w:proofErr w:type="spellStart"/>
            <w:r>
              <w:rPr>
                <w:color w:val="333333"/>
                <w:sz w:val="24"/>
              </w:rPr>
              <w:t>Koiwa</w:t>
            </w:r>
            <w:proofErr w:type="spellEnd"/>
            <w:r>
              <w:rPr>
                <w:color w:val="333333"/>
                <w:sz w:val="24"/>
              </w:rPr>
              <w:t xml:space="preserve"> H, </w:t>
            </w:r>
            <w:proofErr w:type="spellStart"/>
            <w:r>
              <w:rPr>
                <w:color w:val="333333"/>
                <w:sz w:val="24"/>
              </w:rPr>
              <w:t>Sokolchik</w:t>
            </w:r>
            <w:proofErr w:type="spellEnd"/>
            <w:r>
              <w:rPr>
                <w:color w:val="333333"/>
                <w:sz w:val="24"/>
              </w:rPr>
              <w:t xml:space="preserve"> I, Li X, Maggio A</w:t>
            </w:r>
            <w:r w:rsidRPr="00E87817">
              <w:rPr>
                <w:color w:val="333333"/>
                <w:sz w:val="24"/>
              </w:rPr>
              <w:t>. (2008) The Arabidopsis kinase-associated protein phosphatase regulates adaptation to Na+ stress. Plant Physiology 146: 612-622.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19</w:t>
            </w:r>
            <w:r w:rsidRPr="00E87817">
              <w:rPr>
                <w:color w:val="333333"/>
                <w:sz w:val="24"/>
              </w:rPr>
              <w:t>) Sun F, Zhang W, Hu H, Li</w:t>
            </w:r>
            <w:r>
              <w:rPr>
                <w:color w:val="333333"/>
                <w:sz w:val="24"/>
              </w:rPr>
              <w:t xml:space="preserve"> B, Wang Y, Zhao Y, Liu M, Li X</w:t>
            </w:r>
            <w:r w:rsidRPr="00E87817">
              <w:rPr>
                <w:color w:val="333333"/>
                <w:sz w:val="24"/>
              </w:rPr>
              <w:t>. (2008) Salt modulates gravity signaling pathway to regulate growth direction of primary roots in Arabidopsis thaliana. Plant Physiology 146:178-88.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20</w:t>
            </w:r>
            <w:r w:rsidRPr="00E87817">
              <w:rPr>
                <w:color w:val="333333"/>
                <w:sz w:val="24"/>
              </w:rPr>
              <w:t xml:space="preserve">) </w:t>
            </w:r>
            <w:proofErr w:type="spellStart"/>
            <w:r w:rsidRPr="00E87817">
              <w:rPr>
                <w:color w:val="333333"/>
                <w:sz w:val="24"/>
              </w:rPr>
              <w:t>Inan</w:t>
            </w:r>
            <w:proofErr w:type="spellEnd"/>
            <w:r w:rsidRPr="00E87817">
              <w:rPr>
                <w:color w:val="333333"/>
                <w:sz w:val="24"/>
              </w:rPr>
              <w:t xml:space="preserve"> G, </w:t>
            </w:r>
            <w:proofErr w:type="spellStart"/>
            <w:r w:rsidRPr="00E87817">
              <w:rPr>
                <w:color w:val="333333"/>
                <w:sz w:val="24"/>
              </w:rPr>
              <w:t>Goto</w:t>
            </w:r>
            <w:proofErr w:type="spellEnd"/>
            <w:r w:rsidRPr="00E87817">
              <w:rPr>
                <w:color w:val="333333"/>
                <w:sz w:val="24"/>
              </w:rPr>
              <w:t xml:space="preserve"> F, Jin J, A Rosado, </w:t>
            </w:r>
            <w:proofErr w:type="spellStart"/>
            <w:r w:rsidRPr="00E87817">
              <w:rPr>
                <w:color w:val="333333"/>
                <w:sz w:val="24"/>
              </w:rPr>
              <w:t>Koiwa</w:t>
            </w:r>
            <w:proofErr w:type="spellEnd"/>
            <w:r w:rsidRPr="00E87817">
              <w:rPr>
                <w:color w:val="333333"/>
                <w:sz w:val="24"/>
              </w:rPr>
              <w:t xml:space="preserve"> H, Shi H, Hasegawa</w:t>
            </w:r>
            <w:r>
              <w:rPr>
                <w:color w:val="333333"/>
                <w:sz w:val="24"/>
              </w:rPr>
              <w:t xml:space="preserve"> PM, </w:t>
            </w:r>
            <w:proofErr w:type="spellStart"/>
            <w:r>
              <w:rPr>
                <w:color w:val="333333"/>
                <w:sz w:val="24"/>
              </w:rPr>
              <w:t>Bressan</w:t>
            </w:r>
            <w:proofErr w:type="spellEnd"/>
            <w:r>
              <w:rPr>
                <w:color w:val="333333"/>
                <w:sz w:val="24"/>
              </w:rPr>
              <w:t xml:space="preserve"> RA, Maggio A, Li X</w:t>
            </w:r>
            <w:r w:rsidRPr="00E87817">
              <w:rPr>
                <w:color w:val="333333"/>
                <w:sz w:val="24"/>
              </w:rPr>
              <w:t xml:space="preserve">. (2007) Isolation and characterization of shs1, a sugar-hypersensitive and ABA-insensitive </w:t>
            </w:r>
            <w:r w:rsidRPr="00E87817">
              <w:rPr>
                <w:color w:val="333333"/>
                <w:sz w:val="24"/>
              </w:rPr>
              <w:lastRenderedPageBreak/>
              <w:t>mutant with multiple stress responses. Plant Molecular Biology 65: 295-309.</w:t>
            </w:r>
          </w:p>
          <w:p w:rsidR="009822B9" w:rsidRDefault="009822B9" w:rsidP="003D02ED">
            <w:pPr>
              <w:spacing w:line="360" w:lineRule="auto"/>
              <w:rPr>
                <w:color w:val="333333"/>
                <w:sz w:val="24"/>
              </w:rPr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21</w:t>
            </w:r>
            <w:r w:rsidRPr="00E87817">
              <w:rPr>
                <w:color w:val="333333"/>
                <w:sz w:val="24"/>
              </w:rPr>
              <w:t>) Wang Y,</w:t>
            </w:r>
            <w:r>
              <w:rPr>
                <w:color w:val="333333"/>
                <w:sz w:val="24"/>
              </w:rPr>
              <w:t xml:space="preserve"> C Liu, K Li, F Sun, H Hu, Li X</w:t>
            </w:r>
            <w:r w:rsidRPr="00E87817">
              <w:rPr>
                <w:color w:val="333333"/>
                <w:sz w:val="24"/>
              </w:rPr>
              <w:t xml:space="preserve">. (2007) Arabidopsis EIN2 modulates stress response through </w:t>
            </w:r>
            <w:proofErr w:type="spellStart"/>
            <w:r w:rsidRPr="00E87817">
              <w:rPr>
                <w:color w:val="333333"/>
                <w:sz w:val="24"/>
              </w:rPr>
              <w:t>abscisic</w:t>
            </w:r>
            <w:proofErr w:type="spellEnd"/>
            <w:r w:rsidRPr="00E87817">
              <w:rPr>
                <w:color w:val="333333"/>
                <w:sz w:val="24"/>
              </w:rPr>
              <w:t xml:space="preserve"> acid response pathway. Plant Molecular Biology 64: 633-644.</w:t>
            </w:r>
          </w:p>
          <w:p w:rsidR="009822B9" w:rsidRDefault="009822B9" w:rsidP="003D02ED">
            <w:pPr>
              <w:spacing w:line="360" w:lineRule="auto"/>
            </w:pPr>
            <w:r w:rsidRPr="00E87817">
              <w:rPr>
                <w:color w:val="333333"/>
                <w:sz w:val="24"/>
              </w:rPr>
              <w:t>(</w:t>
            </w:r>
            <w:r>
              <w:rPr>
                <w:rFonts w:hint="eastAsia"/>
                <w:color w:val="333333"/>
                <w:sz w:val="24"/>
              </w:rPr>
              <w:t>22</w:t>
            </w:r>
            <w:r w:rsidRPr="00E87817">
              <w:rPr>
                <w:color w:val="333333"/>
                <w:sz w:val="24"/>
              </w:rPr>
              <w:t>) Zhang W, Li X, Liu JB. (2007) Genetic variation of Bmy1 alleles in barley (</w:t>
            </w:r>
            <w:proofErr w:type="spellStart"/>
            <w:r w:rsidRPr="00E87817">
              <w:rPr>
                <w:color w:val="333333"/>
                <w:sz w:val="24"/>
              </w:rPr>
              <w:t>Hordeum</w:t>
            </w:r>
            <w:proofErr w:type="spellEnd"/>
            <w:r w:rsidRPr="00E87817">
              <w:rPr>
                <w:color w:val="333333"/>
                <w:sz w:val="24"/>
              </w:rPr>
              <w:t xml:space="preserve"> </w:t>
            </w:r>
            <w:proofErr w:type="spellStart"/>
            <w:r w:rsidRPr="00E87817">
              <w:rPr>
                <w:color w:val="333333"/>
                <w:sz w:val="24"/>
              </w:rPr>
              <w:t>vulgare</w:t>
            </w:r>
            <w:proofErr w:type="spellEnd"/>
            <w:r w:rsidRPr="00E87817">
              <w:rPr>
                <w:color w:val="333333"/>
                <w:sz w:val="24"/>
              </w:rPr>
              <w:t xml:space="preserve"> L.) investigated by CAPS analysis. Theoretical Applied Genetics 114: 1039-1050.</w:t>
            </w:r>
          </w:p>
          <w:p w:rsidR="003A363B" w:rsidRPr="00883BE7" w:rsidRDefault="003A363B" w:rsidP="00623C7F">
            <w:pPr>
              <w:rPr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 xml:space="preserve">Additional Information 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752892" w:rsidRPr="00883BE7" w:rsidRDefault="00752892" w:rsidP="00623C7F">
            <w:pPr>
              <w:rPr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E1" w:rsidRDefault="00D440E1" w:rsidP="008A3A3F">
      <w:r>
        <w:separator/>
      </w:r>
    </w:p>
  </w:endnote>
  <w:endnote w:type="continuationSeparator" w:id="0">
    <w:p w:rsidR="00D440E1" w:rsidRDefault="00D440E1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E1" w:rsidRDefault="00D440E1" w:rsidP="008A3A3F">
      <w:r>
        <w:separator/>
      </w:r>
    </w:p>
  </w:footnote>
  <w:footnote w:type="continuationSeparator" w:id="0">
    <w:p w:rsidR="00D440E1" w:rsidRDefault="00D440E1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D440E1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0909CF"/>
    <w:rsid w:val="003A363B"/>
    <w:rsid w:val="003D02ED"/>
    <w:rsid w:val="00494409"/>
    <w:rsid w:val="00587AC1"/>
    <w:rsid w:val="006C3A5C"/>
    <w:rsid w:val="006E2F86"/>
    <w:rsid w:val="00752892"/>
    <w:rsid w:val="008A3A3F"/>
    <w:rsid w:val="009822B9"/>
    <w:rsid w:val="009E3DE6"/>
    <w:rsid w:val="00B542E4"/>
    <w:rsid w:val="00CD6A39"/>
    <w:rsid w:val="00D440E1"/>
    <w:rsid w:val="00EE132E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hmetcnv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styleId="a7">
    <w:name w:val="Normal (Web)"/>
    <w:basedOn w:val="a"/>
    <w:rsid w:val="009E3D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</cp:revision>
  <dcterms:created xsi:type="dcterms:W3CDTF">2015-11-26T01:58:00Z</dcterms:created>
  <dcterms:modified xsi:type="dcterms:W3CDTF">2015-11-30T05:56:00Z</dcterms:modified>
</cp:coreProperties>
</file>