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704"/>
        <w:gridCol w:w="2127"/>
        <w:gridCol w:w="1133"/>
        <w:gridCol w:w="1128"/>
        <w:gridCol w:w="2111"/>
      </w:tblGrid>
      <w:tr w:rsidR="00587AC1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026171" w:rsidP="00623C7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63570" cy="1902272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纪洪涛大头照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256" cy="190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C1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482D8E" w:rsidP="00623C7F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Hongtao</w:t>
            </w:r>
            <w:proofErr w:type="spellEnd"/>
            <w:r>
              <w:rPr>
                <w:rFonts w:hint="eastAsia"/>
                <w:sz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</w:rPr>
              <w:t>Ji</w:t>
            </w:r>
            <w:proofErr w:type="spellEnd"/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3554E4" w:rsidRDefault="00482D8E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Male</w:t>
            </w: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Default="00482D8E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Associate Professor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006502" w:rsidRDefault="00482D8E" w:rsidP="00623C7F">
            <w:pPr>
              <w:jc w:val="center"/>
              <w:rPr>
                <w:sz w:val="24"/>
              </w:rPr>
            </w:pPr>
            <w:r w:rsidRPr="00006502">
              <w:rPr>
                <w:bCs/>
                <w:color w:val="222222"/>
                <w:sz w:val="24"/>
                <w:bdr w:val="none" w:sz="0" w:space="0" w:color="auto" w:frame="1"/>
              </w:rPr>
              <w:t xml:space="preserve">College of Plant Science &amp; </w:t>
            </w:r>
            <w:r w:rsidRPr="00006502">
              <w:rPr>
                <w:rFonts w:hint="eastAsia"/>
                <w:bCs/>
                <w:color w:val="222222"/>
                <w:sz w:val="24"/>
                <w:bdr w:val="none" w:sz="0" w:space="0" w:color="auto" w:frame="1"/>
              </w:rPr>
              <w:t>Te</w:t>
            </w:r>
            <w:r w:rsidRPr="00006502">
              <w:rPr>
                <w:bCs/>
                <w:color w:val="222222"/>
                <w:sz w:val="24"/>
                <w:bdr w:val="none" w:sz="0" w:space="0" w:color="auto" w:frame="1"/>
              </w:rPr>
              <w:t xml:space="preserve">chnology, </w:t>
            </w:r>
            <w:proofErr w:type="spellStart"/>
            <w:r w:rsidRPr="00006502">
              <w:rPr>
                <w:bCs/>
                <w:color w:val="222222"/>
                <w:sz w:val="24"/>
                <w:bdr w:val="none" w:sz="0" w:space="0" w:color="auto" w:frame="1"/>
              </w:rPr>
              <w:t>Huazhong</w:t>
            </w:r>
            <w:proofErr w:type="spellEnd"/>
            <w:r w:rsidRPr="00006502">
              <w:rPr>
                <w:bCs/>
                <w:color w:val="222222"/>
                <w:sz w:val="24"/>
                <w:bdr w:val="none" w:sz="0" w:space="0" w:color="auto" w:frame="1"/>
              </w:rPr>
              <w:t xml:space="preserve"> Agricultural University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3554E4" w:rsidRDefault="00482D8E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htji@mail.hzau.edu.cn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006502" w:rsidRDefault="00482D8E" w:rsidP="00623C7F">
            <w:pPr>
              <w:jc w:val="center"/>
              <w:rPr>
                <w:sz w:val="24"/>
              </w:rPr>
            </w:pPr>
            <w:r w:rsidRPr="00006502">
              <w:rPr>
                <w:bCs/>
                <w:color w:val="222222"/>
                <w:sz w:val="24"/>
                <w:bdr w:val="none" w:sz="0" w:space="0" w:color="auto" w:frame="1"/>
              </w:rPr>
              <w:t xml:space="preserve">1 </w:t>
            </w:r>
            <w:proofErr w:type="spellStart"/>
            <w:r w:rsidRPr="00006502">
              <w:rPr>
                <w:bCs/>
                <w:color w:val="222222"/>
                <w:sz w:val="24"/>
                <w:bdr w:val="none" w:sz="0" w:space="0" w:color="auto" w:frame="1"/>
              </w:rPr>
              <w:t>Shizishan</w:t>
            </w:r>
            <w:proofErr w:type="spellEnd"/>
            <w:r w:rsidRPr="00006502">
              <w:rPr>
                <w:bCs/>
                <w:color w:val="222222"/>
                <w:sz w:val="24"/>
                <w:bdr w:val="none" w:sz="0" w:space="0" w:color="auto" w:frame="1"/>
              </w:rPr>
              <w:t xml:space="preserve"> street, </w:t>
            </w:r>
            <w:proofErr w:type="spellStart"/>
            <w:r w:rsidRPr="00006502">
              <w:rPr>
                <w:bCs/>
                <w:color w:val="222222"/>
                <w:sz w:val="24"/>
                <w:bdr w:val="none" w:sz="0" w:space="0" w:color="auto" w:frame="1"/>
              </w:rPr>
              <w:t>Hongshan</w:t>
            </w:r>
            <w:proofErr w:type="spellEnd"/>
            <w:r w:rsidRPr="00006502">
              <w:rPr>
                <w:bCs/>
                <w:color w:val="222222"/>
                <w:sz w:val="24"/>
                <w:bdr w:val="none" w:sz="0" w:space="0" w:color="auto" w:frame="1"/>
              </w:rPr>
              <w:t xml:space="preserve"> District, Wuhan, Hubei 430070, P.R. China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8A3A3F" w:rsidRPr="00883BE7" w:rsidTr="00EE132E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8A3A3F" w:rsidRPr="00883BE7" w:rsidRDefault="00006502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+86-18232111573</w:t>
            </w:r>
          </w:p>
        </w:tc>
        <w:tc>
          <w:tcPr>
            <w:tcW w:w="1133" w:type="dxa"/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8A3A3F" w:rsidRPr="00883B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8A3A3F" w:rsidRPr="00883BE7" w:rsidRDefault="008A3A3F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587AC1" w:rsidRPr="00883BE7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F071B5" w:rsidRPr="00946D6C" w:rsidRDefault="00F071B5" w:rsidP="00F071B5">
            <w:pPr>
              <w:widowControl/>
              <w:spacing w:line="288" w:lineRule="auto"/>
              <w:ind w:leftChars="-202" w:left="-424" w:firstLineChars="200" w:firstLine="480"/>
              <w:rPr>
                <w:sz w:val="24"/>
              </w:rPr>
            </w:pPr>
            <w:r w:rsidRPr="00946D6C">
              <w:rPr>
                <w:rFonts w:hint="eastAsia"/>
                <w:sz w:val="24"/>
              </w:rPr>
              <w:t>R</w:t>
            </w:r>
            <w:r w:rsidRPr="00946D6C">
              <w:rPr>
                <w:sz w:val="24"/>
              </w:rPr>
              <w:t>o</w:t>
            </w:r>
            <w:r w:rsidRPr="00946D6C">
              <w:rPr>
                <w:rFonts w:hint="eastAsia"/>
                <w:sz w:val="24"/>
              </w:rPr>
              <w:t>ot developmental plasticity in response to environmental stimuli;</w:t>
            </w:r>
          </w:p>
          <w:p w:rsidR="00587AC1" w:rsidRPr="00F071B5" w:rsidRDefault="00F071B5" w:rsidP="00DC72A6">
            <w:pPr>
              <w:widowControl/>
              <w:spacing w:line="288" w:lineRule="auto"/>
              <w:ind w:leftChars="-202" w:left="-424" w:firstLineChars="200" w:firstLine="480"/>
              <w:rPr>
                <w:sz w:val="24"/>
              </w:rPr>
            </w:pPr>
            <w:r w:rsidRPr="00946D6C">
              <w:rPr>
                <w:rFonts w:hint="eastAsia"/>
                <w:sz w:val="24"/>
              </w:rPr>
              <w:t>Soybean nodulation and nitrogen fixation efficiency regulation;</w:t>
            </w:r>
          </w:p>
        </w:tc>
      </w:tr>
      <w:tr w:rsidR="00587AC1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Professional Membership</w:t>
            </w:r>
            <w:r>
              <w:rPr>
                <w:rFonts w:hint="eastAsia"/>
                <w:b/>
                <w:sz w:val="24"/>
              </w:rPr>
              <w:t>s</w:t>
            </w:r>
          </w:p>
        </w:tc>
      </w:tr>
      <w:tr w:rsidR="00587AC1" w:rsidRPr="00883BE7" w:rsidTr="00587AC1">
        <w:trPr>
          <w:trHeight w:val="1528"/>
        </w:trPr>
        <w:tc>
          <w:tcPr>
            <w:tcW w:w="9476" w:type="dxa"/>
            <w:gridSpan w:val="6"/>
            <w:vAlign w:val="center"/>
          </w:tcPr>
          <w:p w:rsidR="00587AC1" w:rsidRPr="00587AC1" w:rsidRDefault="00587AC1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587AC1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Other Roles</w:t>
            </w:r>
          </w:p>
        </w:tc>
      </w:tr>
      <w:tr w:rsidR="00587AC1" w:rsidRPr="00883BE7" w:rsidTr="00587AC1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587AC1" w:rsidRPr="00587AC1" w:rsidRDefault="00587AC1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C3A5C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 w:rsidR="006C3A5C"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3A363B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545FFC" w:rsidRDefault="00545FFC" w:rsidP="000371F4">
            <w:pPr>
              <w:rPr>
                <w:sz w:val="24"/>
              </w:rPr>
            </w:pPr>
          </w:p>
          <w:p w:rsidR="000371F4" w:rsidRPr="00946D6C" w:rsidRDefault="000371F4" w:rsidP="000371F4">
            <w:pPr>
              <w:rPr>
                <w:sz w:val="24"/>
              </w:rPr>
            </w:pPr>
            <w:r w:rsidRPr="00946D6C">
              <w:rPr>
                <w:sz w:val="24"/>
              </w:rPr>
              <w:t>E</w:t>
            </w:r>
            <w:r w:rsidRPr="00946D6C">
              <w:rPr>
                <w:rFonts w:hint="eastAsia"/>
                <w:sz w:val="24"/>
              </w:rPr>
              <w:t xml:space="preserve">ducation </w:t>
            </w:r>
          </w:p>
          <w:p w:rsidR="000371F4" w:rsidRDefault="000371F4" w:rsidP="000371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1999-2003 B.S. Biology, </w:t>
            </w:r>
            <w:proofErr w:type="spellStart"/>
            <w:r>
              <w:rPr>
                <w:rFonts w:hint="eastAsia"/>
                <w:sz w:val="24"/>
              </w:rPr>
              <w:t>Yantai</w:t>
            </w:r>
            <w:proofErr w:type="spellEnd"/>
            <w:r>
              <w:rPr>
                <w:rFonts w:hint="eastAsia"/>
                <w:sz w:val="24"/>
              </w:rPr>
              <w:t xml:space="preserve"> Normal University, P.R. China</w:t>
            </w:r>
          </w:p>
          <w:p w:rsidR="000371F4" w:rsidRPr="00946D6C" w:rsidRDefault="000371F4" w:rsidP="000371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2003-2006 M.S. Plant Science, </w:t>
            </w:r>
            <w:proofErr w:type="spellStart"/>
            <w:r>
              <w:rPr>
                <w:rFonts w:hint="eastAsia"/>
                <w:sz w:val="24"/>
              </w:rPr>
              <w:t>Hebei</w:t>
            </w:r>
            <w:proofErr w:type="spellEnd"/>
            <w:r>
              <w:rPr>
                <w:rFonts w:hint="eastAsia"/>
                <w:sz w:val="24"/>
              </w:rPr>
              <w:t xml:space="preserve"> Agricultural University, P.R. China</w:t>
            </w:r>
          </w:p>
          <w:p w:rsidR="000371F4" w:rsidRDefault="000371F4" w:rsidP="000371F4">
            <w:pPr>
              <w:ind w:left="2040" w:hangingChars="850" w:hanging="2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2006-2010 Ph.D. Plant Molecular Genetics, Institute of Genetics &amp; Developmental Biology, Chinese Academy of Sciences</w:t>
            </w:r>
          </w:p>
          <w:p w:rsidR="00C51BCE" w:rsidRDefault="00C51BCE" w:rsidP="000371F4">
            <w:pPr>
              <w:ind w:left="2040" w:hangingChars="850" w:hanging="2040"/>
              <w:rPr>
                <w:sz w:val="24"/>
              </w:rPr>
            </w:pPr>
          </w:p>
          <w:p w:rsidR="000371F4" w:rsidRDefault="000371F4" w:rsidP="000371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Working Experience</w:t>
            </w:r>
          </w:p>
          <w:p w:rsidR="000371F4" w:rsidRDefault="000371F4" w:rsidP="000371F4">
            <w:pPr>
              <w:ind w:left="1560" w:hangingChars="650" w:hanging="1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2010-2015 Assistant/Associate Professor, </w:t>
            </w:r>
            <w:r w:rsidRPr="000371F4">
              <w:rPr>
                <w:sz w:val="24"/>
              </w:rPr>
              <w:t>Center for Agricultural Resources Research</w:t>
            </w:r>
            <w:r>
              <w:rPr>
                <w:rFonts w:hint="eastAsia"/>
                <w:sz w:val="24"/>
              </w:rPr>
              <w:t>, Institute of Genetics &amp; Developmental Biology, Chinese Academy of Sciences</w:t>
            </w:r>
          </w:p>
          <w:p w:rsidR="00752892" w:rsidRPr="00F071B5" w:rsidRDefault="000371F4" w:rsidP="00F071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2015-present Associate Professor, </w:t>
            </w:r>
            <w:proofErr w:type="spellStart"/>
            <w:r>
              <w:rPr>
                <w:rFonts w:hint="eastAsia"/>
                <w:sz w:val="24"/>
              </w:rPr>
              <w:t>Huazhong</w:t>
            </w:r>
            <w:proofErr w:type="spellEnd"/>
            <w:r>
              <w:rPr>
                <w:rFonts w:hint="eastAsia"/>
                <w:sz w:val="24"/>
              </w:rPr>
              <w:t xml:space="preserve"> Agri</w:t>
            </w:r>
            <w:r w:rsidR="00F071B5">
              <w:rPr>
                <w:rFonts w:hint="eastAsia"/>
                <w:sz w:val="24"/>
              </w:rPr>
              <w:t>cultural University, P.R. China</w:t>
            </w:r>
          </w:p>
          <w:p w:rsidR="00752892" w:rsidRPr="00752892" w:rsidRDefault="00752892" w:rsidP="00752892">
            <w:pPr>
              <w:pStyle w:val="a6"/>
              <w:ind w:left="420" w:firstLineChars="0" w:firstLine="0"/>
              <w:rPr>
                <w:sz w:val="24"/>
              </w:rPr>
            </w:pPr>
            <w:bookmarkStart w:id="0" w:name="_GoBack"/>
            <w:bookmarkEnd w:id="0"/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>Publications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006502" w:rsidRPr="00545FFC" w:rsidRDefault="00006502" w:rsidP="00006502">
            <w:pPr>
              <w:spacing w:line="360" w:lineRule="auto"/>
              <w:rPr>
                <w:color w:val="333333"/>
                <w:sz w:val="24"/>
              </w:rPr>
            </w:pPr>
            <w:r w:rsidRPr="00545FFC">
              <w:rPr>
                <w:color w:val="333333"/>
                <w:sz w:val="24"/>
              </w:rPr>
              <w:t xml:space="preserve">1. </w:t>
            </w:r>
            <w:proofErr w:type="spellStart"/>
            <w:r w:rsidRPr="00545FFC">
              <w:rPr>
                <w:color w:val="333333"/>
                <w:sz w:val="24"/>
              </w:rPr>
              <w:t>Ji</w:t>
            </w:r>
            <w:proofErr w:type="spellEnd"/>
            <w:r w:rsidRPr="00545FFC">
              <w:rPr>
                <w:color w:val="333333"/>
                <w:sz w:val="24"/>
              </w:rPr>
              <w:t xml:space="preserve"> H*, Wang Y*, </w:t>
            </w:r>
            <w:proofErr w:type="spellStart"/>
            <w:r w:rsidRPr="00545FFC">
              <w:rPr>
                <w:color w:val="333333"/>
                <w:sz w:val="24"/>
              </w:rPr>
              <w:t>Cloix</w:t>
            </w:r>
            <w:proofErr w:type="spellEnd"/>
            <w:r w:rsidRPr="00545FFC">
              <w:rPr>
                <w:color w:val="333333"/>
                <w:sz w:val="24"/>
              </w:rPr>
              <w:t xml:space="preserve"> C*, Li K*, Jenkins I, Wang S, Shang Z, Shi Y, Yang S, Li X. (2015). The Arabidopsis RCC1 family protein TCF1 regulates freezing tolerance and cold acclimation through modulating lignin biosynthesis. </w:t>
            </w:r>
            <w:proofErr w:type="spellStart"/>
            <w:r w:rsidRPr="00545FFC">
              <w:rPr>
                <w:color w:val="333333"/>
                <w:sz w:val="24"/>
              </w:rPr>
              <w:t>PloS</w:t>
            </w:r>
            <w:proofErr w:type="spellEnd"/>
            <w:r w:rsidRPr="00545FFC">
              <w:rPr>
                <w:color w:val="333333"/>
                <w:sz w:val="24"/>
              </w:rPr>
              <w:t xml:space="preserve"> Genet. 11: e1005471. </w:t>
            </w:r>
          </w:p>
          <w:p w:rsidR="00006502" w:rsidRPr="00545FFC" w:rsidRDefault="00006502" w:rsidP="00006502">
            <w:pPr>
              <w:spacing w:line="360" w:lineRule="auto"/>
              <w:rPr>
                <w:color w:val="333333"/>
                <w:sz w:val="24"/>
              </w:rPr>
            </w:pPr>
            <w:r w:rsidRPr="00545FFC">
              <w:rPr>
                <w:color w:val="333333"/>
                <w:sz w:val="24"/>
              </w:rPr>
              <w:t xml:space="preserve">2. Wang Z*, </w:t>
            </w:r>
            <w:proofErr w:type="spellStart"/>
            <w:r w:rsidRPr="00545FFC">
              <w:rPr>
                <w:color w:val="333333"/>
                <w:sz w:val="24"/>
              </w:rPr>
              <w:t>Ji</w:t>
            </w:r>
            <w:proofErr w:type="spellEnd"/>
            <w:r w:rsidRPr="00545FFC">
              <w:rPr>
                <w:color w:val="333333"/>
                <w:sz w:val="24"/>
              </w:rPr>
              <w:t xml:space="preserve"> H*, Yuan B, Wang S, Yao B, Su C, Li X.</w:t>
            </w:r>
            <w:r w:rsidRPr="00545FFC">
              <w:rPr>
                <w:rFonts w:hint="eastAsia"/>
                <w:color w:val="333333"/>
                <w:sz w:val="24"/>
              </w:rPr>
              <w:t xml:space="preserve"> </w:t>
            </w:r>
            <w:r w:rsidRPr="00545FFC">
              <w:rPr>
                <w:color w:val="333333"/>
                <w:sz w:val="24"/>
              </w:rPr>
              <w:t xml:space="preserve">(2015) ABA </w:t>
            </w:r>
            <w:proofErr w:type="spellStart"/>
            <w:r w:rsidRPr="00545FFC">
              <w:rPr>
                <w:color w:val="333333"/>
                <w:sz w:val="24"/>
              </w:rPr>
              <w:t>signalling</w:t>
            </w:r>
            <w:proofErr w:type="spellEnd"/>
            <w:r w:rsidRPr="00545FFC">
              <w:rPr>
                <w:color w:val="333333"/>
                <w:sz w:val="24"/>
              </w:rPr>
              <w:t xml:space="preserve"> is fine-tuned by antagonistic HAB1 variants. Nat. </w:t>
            </w:r>
            <w:proofErr w:type="spellStart"/>
            <w:r w:rsidRPr="00545FFC">
              <w:rPr>
                <w:color w:val="333333"/>
                <w:sz w:val="24"/>
              </w:rPr>
              <w:t>Commun</w:t>
            </w:r>
            <w:proofErr w:type="spellEnd"/>
            <w:r w:rsidRPr="00545FFC">
              <w:rPr>
                <w:color w:val="333333"/>
                <w:sz w:val="24"/>
              </w:rPr>
              <w:t xml:space="preserve">. 6, 8138. </w:t>
            </w:r>
          </w:p>
          <w:p w:rsidR="00006502" w:rsidRPr="00545FFC" w:rsidRDefault="00006502" w:rsidP="00006502">
            <w:pPr>
              <w:spacing w:line="360" w:lineRule="auto"/>
              <w:rPr>
                <w:color w:val="333333"/>
                <w:sz w:val="24"/>
              </w:rPr>
            </w:pPr>
            <w:r w:rsidRPr="00545FFC">
              <w:rPr>
                <w:color w:val="333333"/>
                <w:sz w:val="24"/>
              </w:rPr>
              <w:t xml:space="preserve">3. </w:t>
            </w:r>
            <w:proofErr w:type="spellStart"/>
            <w:r w:rsidRPr="00545FFC">
              <w:rPr>
                <w:color w:val="333333"/>
                <w:sz w:val="24"/>
              </w:rPr>
              <w:t>Ji</w:t>
            </w:r>
            <w:proofErr w:type="spellEnd"/>
            <w:r w:rsidRPr="00545FFC">
              <w:rPr>
                <w:color w:val="333333"/>
                <w:sz w:val="24"/>
              </w:rPr>
              <w:t xml:space="preserve"> H, Wang S, Li K, </w:t>
            </w:r>
            <w:proofErr w:type="spellStart"/>
            <w:r w:rsidRPr="00545FFC">
              <w:rPr>
                <w:color w:val="333333"/>
                <w:sz w:val="24"/>
              </w:rPr>
              <w:t>Szakonyi</w:t>
            </w:r>
            <w:proofErr w:type="spellEnd"/>
            <w:r w:rsidRPr="00545FFC">
              <w:rPr>
                <w:color w:val="333333"/>
                <w:sz w:val="24"/>
              </w:rPr>
              <w:t xml:space="preserve"> D, </w:t>
            </w:r>
            <w:proofErr w:type="spellStart"/>
            <w:r w:rsidRPr="00545FFC">
              <w:rPr>
                <w:color w:val="333333"/>
                <w:sz w:val="24"/>
              </w:rPr>
              <w:t>Koncz</w:t>
            </w:r>
            <w:proofErr w:type="spellEnd"/>
            <w:r w:rsidRPr="00545FFC">
              <w:rPr>
                <w:color w:val="333333"/>
                <w:sz w:val="24"/>
              </w:rPr>
              <w:t xml:space="preserve"> C, and Li X. (2014) PRL1 modulates root stem cell niche activity and meristem size through WOX5 and PLTs in Arabidopsis. Plant J. 81: 399-412.</w:t>
            </w:r>
          </w:p>
          <w:p w:rsidR="00006502" w:rsidRPr="00545FFC" w:rsidRDefault="00006502" w:rsidP="00006502">
            <w:pPr>
              <w:spacing w:line="360" w:lineRule="auto"/>
              <w:rPr>
                <w:color w:val="333333"/>
                <w:sz w:val="24"/>
              </w:rPr>
            </w:pPr>
            <w:r w:rsidRPr="00545FFC">
              <w:rPr>
                <w:color w:val="333333"/>
                <w:sz w:val="24"/>
              </w:rPr>
              <w:t xml:space="preserve">4. </w:t>
            </w:r>
            <w:proofErr w:type="spellStart"/>
            <w:r w:rsidRPr="00545FFC">
              <w:rPr>
                <w:color w:val="333333"/>
                <w:sz w:val="24"/>
              </w:rPr>
              <w:t>Ji</w:t>
            </w:r>
            <w:proofErr w:type="spellEnd"/>
            <w:r w:rsidRPr="00545FFC">
              <w:rPr>
                <w:color w:val="333333"/>
                <w:sz w:val="24"/>
              </w:rPr>
              <w:t xml:space="preserve"> H, Liu L, Li K, </w:t>
            </w:r>
            <w:proofErr w:type="spellStart"/>
            <w:r w:rsidRPr="00545FFC">
              <w:rPr>
                <w:color w:val="333333"/>
                <w:sz w:val="24"/>
              </w:rPr>
              <w:t>Xie</w:t>
            </w:r>
            <w:proofErr w:type="spellEnd"/>
            <w:r w:rsidRPr="00545FFC">
              <w:rPr>
                <w:color w:val="333333"/>
                <w:sz w:val="24"/>
              </w:rPr>
              <w:t xml:space="preserve"> Q, Wang Z, Zhao X and Li X. (2014) PEG-mediated osmotic stress induces premature differentiation of the root apical meristem and outgrowth of lateral roots in wheat. J. Exp. Bot. 65, 4863-4872. </w:t>
            </w:r>
          </w:p>
          <w:p w:rsidR="00006502" w:rsidRPr="00545FFC" w:rsidRDefault="00006502" w:rsidP="00006502">
            <w:pPr>
              <w:spacing w:line="360" w:lineRule="auto"/>
              <w:rPr>
                <w:color w:val="333333"/>
                <w:sz w:val="24"/>
              </w:rPr>
            </w:pPr>
            <w:r w:rsidRPr="00545FFC">
              <w:rPr>
                <w:color w:val="333333"/>
                <w:sz w:val="24"/>
              </w:rPr>
              <w:t xml:space="preserve">5. </w:t>
            </w:r>
            <w:proofErr w:type="spellStart"/>
            <w:r w:rsidRPr="00545FFC">
              <w:rPr>
                <w:color w:val="333333"/>
                <w:sz w:val="24"/>
              </w:rPr>
              <w:t>Ji</w:t>
            </w:r>
            <w:proofErr w:type="spellEnd"/>
            <w:r w:rsidRPr="00545FFC">
              <w:rPr>
                <w:color w:val="333333"/>
                <w:sz w:val="24"/>
              </w:rPr>
              <w:t xml:space="preserve"> H and Li X. (2014) ABA </w:t>
            </w:r>
            <w:proofErr w:type="gramStart"/>
            <w:r w:rsidRPr="00545FFC">
              <w:rPr>
                <w:color w:val="333333"/>
                <w:sz w:val="24"/>
              </w:rPr>
              <w:t>mediates</w:t>
            </w:r>
            <w:proofErr w:type="gramEnd"/>
            <w:r w:rsidRPr="00545FFC">
              <w:rPr>
                <w:color w:val="333333"/>
                <w:sz w:val="24"/>
              </w:rPr>
              <w:t xml:space="preserve"> PEG-mediated premature differentiation of root apical meristem in plants. Plant Signal. </w:t>
            </w:r>
            <w:proofErr w:type="spellStart"/>
            <w:r w:rsidRPr="00545FFC">
              <w:rPr>
                <w:color w:val="333333"/>
                <w:sz w:val="24"/>
              </w:rPr>
              <w:t>Behav</w:t>
            </w:r>
            <w:proofErr w:type="spellEnd"/>
            <w:r w:rsidRPr="00545FFC">
              <w:rPr>
                <w:color w:val="333333"/>
                <w:sz w:val="24"/>
              </w:rPr>
              <w:t>. 9:e977720.</w:t>
            </w:r>
          </w:p>
          <w:p w:rsidR="00006502" w:rsidRPr="00545FFC" w:rsidRDefault="00006502" w:rsidP="00006502">
            <w:pPr>
              <w:spacing w:line="360" w:lineRule="auto"/>
              <w:rPr>
                <w:color w:val="333333"/>
                <w:sz w:val="24"/>
              </w:rPr>
            </w:pPr>
            <w:r w:rsidRPr="00545FFC">
              <w:rPr>
                <w:color w:val="333333"/>
                <w:sz w:val="24"/>
              </w:rPr>
              <w:t xml:space="preserve">6. </w:t>
            </w:r>
            <w:proofErr w:type="spellStart"/>
            <w:r w:rsidRPr="00545FFC">
              <w:rPr>
                <w:color w:val="333333"/>
                <w:sz w:val="24"/>
              </w:rPr>
              <w:t>Ji</w:t>
            </w:r>
            <w:proofErr w:type="spellEnd"/>
            <w:r w:rsidRPr="00545FFC">
              <w:rPr>
                <w:color w:val="333333"/>
                <w:sz w:val="24"/>
              </w:rPr>
              <w:t xml:space="preserve"> H, </w:t>
            </w:r>
            <w:proofErr w:type="spellStart"/>
            <w:r w:rsidRPr="00545FFC">
              <w:rPr>
                <w:color w:val="333333"/>
                <w:sz w:val="24"/>
              </w:rPr>
              <w:t>Pardo</w:t>
            </w:r>
            <w:proofErr w:type="spellEnd"/>
            <w:r w:rsidRPr="00545FFC">
              <w:rPr>
                <w:color w:val="333333"/>
                <w:sz w:val="24"/>
              </w:rPr>
              <w:t xml:space="preserve"> JM, </w:t>
            </w:r>
            <w:proofErr w:type="spellStart"/>
            <w:r w:rsidRPr="00545FFC">
              <w:rPr>
                <w:color w:val="333333"/>
                <w:sz w:val="24"/>
              </w:rPr>
              <w:t>Batelli</w:t>
            </w:r>
            <w:proofErr w:type="spellEnd"/>
            <w:r w:rsidRPr="00545FFC">
              <w:rPr>
                <w:color w:val="333333"/>
                <w:sz w:val="24"/>
              </w:rPr>
              <w:t xml:space="preserve"> G, Van </w:t>
            </w:r>
            <w:proofErr w:type="spellStart"/>
            <w:r w:rsidRPr="00545FFC">
              <w:rPr>
                <w:color w:val="333333"/>
                <w:sz w:val="24"/>
              </w:rPr>
              <w:t>Oosten</w:t>
            </w:r>
            <w:proofErr w:type="spellEnd"/>
            <w:r w:rsidRPr="00545FFC">
              <w:rPr>
                <w:color w:val="333333"/>
                <w:sz w:val="24"/>
              </w:rPr>
              <w:t xml:space="preserve"> MJ, </w:t>
            </w:r>
            <w:proofErr w:type="spellStart"/>
            <w:r w:rsidRPr="00545FFC">
              <w:rPr>
                <w:color w:val="333333"/>
                <w:sz w:val="24"/>
              </w:rPr>
              <w:t>Bressan</w:t>
            </w:r>
            <w:proofErr w:type="spellEnd"/>
            <w:r w:rsidRPr="00545FFC">
              <w:rPr>
                <w:color w:val="333333"/>
                <w:sz w:val="24"/>
              </w:rPr>
              <w:t xml:space="preserve"> RA, and Li X. (2013) The Salt Overly Sensitive (SOS) Pathway: Established and Emerging Roles. </w:t>
            </w:r>
            <w:proofErr w:type="spellStart"/>
            <w:r w:rsidRPr="00545FFC">
              <w:rPr>
                <w:color w:val="333333"/>
                <w:sz w:val="24"/>
              </w:rPr>
              <w:t>Mol</w:t>
            </w:r>
            <w:proofErr w:type="spellEnd"/>
            <w:r w:rsidRPr="00545FFC">
              <w:rPr>
                <w:color w:val="333333"/>
                <w:sz w:val="24"/>
              </w:rPr>
              <w:t xml:space="preserve"> Plant. 2013 6:275-86.</w:t>
            </w:r>
          </w:p>
          <w:p w:rsidR="00006502" w:rsidRPr="00545FFC" w:rsidRDefault="00006502" w:rsidP="00006502">
            <w:pPr>
              <w:spacing w:line="360" w:lineRule="auto"/>
              <w:rPr>
                <w:color w:val="333333"/>
                <w:sz w:val="24"/>
              </w:rPr>
            </w:pPr>
            <w:r w:rsidRPr="00545FFC">
              <w:rPr>
                <w:color w:val="333333"/>
                <w:sz w:val="24"/>
              </w:rPr>
              <w:t xml:space="preserve">7. Liu L, </w:t>
            </w:r>
            <w:proofErr w:type="spellStart"/>
            <w:r w:rsidRPr="00545FFC">
              <w:rPr>
                <w:color w:val="333333"/>
                <w:sz w:val="24"/>
              </w:rPr>
              <w:t>Guo</w:t>
            </w:r>
            <w:proofErr w:type="spellEnd"/>
            <w:r w:rsidRPr="00545FFC">
              <w:rPr>
                <w:color w:val="333333"/>
                <w:sz w:val="24"/>
              </w:rPr>
              <w:t xml:space="preserve"> G, Wang Z, </w:t>
            </w:r>
            <w:proofErr w:type="spellStart"/>
            <w:r w:rsidRPr="00545FFC">
              <w:rPr>
                <w:color w:val="333333"/>
                <w:sz w:val="24"/>
              </w:rPr>
              <w:t>Ji</w:t>
            </w:r>
            <w:proofErr w:type="spellEnd"/>
            <w:r w:rsidRPr="00545FFC">
              <w:rPr>
                <w:color w:val="333333"/>
                <w:sz w:val="24"/>
              </w:rPr>
              <w:t xml:space="preserve"> H, Mu F, Li X. (2014) </w:t>
            </w:r>
            <w:proofErr w:type="spellStart"/>
            <w:r w:rsidRPr="00545FFC">
              <w:rPr>
                <w:color w:val="333333"/>
                <w:sz w:val="24"/>
              </w:rPr>
              <w:t>Auxin</w:t>
            </w:r>
            <w:proofErr w:type="spellEnd"/>
            <w:r w:rsidRPr="00545FFC">
              <w:rPr>
                <w:color w:val="333333"/>
                <w:sz w:val="24"/>
              </w:rPr>
              <w:t xml:space="preserve"> in Plant growth and stress responses. </w:t>
            </w:r>
            <w:proofErr w:type="spellStart"/>
            <w:r w:rsidRPr="00545FFC">
              <w:rPr>
                <w:color w:val="333333"/>
                <w:sz w:val="24"/>
              </w:rPr>
              <w:t>Phytohormones</w:t>
            </w:r>
            <w:proofErr w:type="spellEnd"/>
            <w:r w:rsidRPr="00545FFC">
              <w:rPr>
                <w:color w:val="333333"/>
                <w:sz w:val="24"/>
              </w:rPr>
              <w:t xml:space="preserve">: A window to metabolism, signaling and biotechnological application. Ed. By Lam-Son </w:t>
            </w:r>
            <w:proofErr w:type="spellStart"/>
            <w:r w:rsidRPr="00545FFC">
              <w:rPr>
                <w:color w:val="333333"/>
                <w:sz w:val="24"/>
              </w:rPr>
              <w:t>Phan</w:t>
            </w:r>
            <w:proofErr w:type="spellEnd"/>
            <w:r w:rsidRPr="00545FFC">
              <w:rPr>
                <w:color w:val="333333"/>
                <w:sz w:val="24"/>
              </w:rPr>
              <w:t xml:space="preserve"> Tran and </w:t>
            </w:r>
            <w:proofErr w:type="spellStart"/>
            <w:r w:rsidRPr="00545FFC">
              <w:rPr>
                <w:color w:val="333333"/>
                <w:sz w:val="24"/>
              </w:rPr>
              <w:t>Sikander</w:t>
            </w:r>
            <w:proofErr w:type="spellEnd"/>
            <w:r w:rsidRPr="00545FFC">
              <w:rPr>
                <w:color w:val="333333"/>
                <w:sz w:val="24"/>
              </w:rPr>
              <w:t xml:space="preserve"> Pal, Springer Science, New York, USA, pp1-35.</w:t>
            </w:r>
          </w:p>
          <w:p w:rsidR="00006502" w:rsidRPr="00545FFC" w:rsidRDefault="00006502" w:rsidP="00006502">
            <w:pPr>
              <w:spacing w:line="360" w:lineRule="auto"/>
              <w:rPr>
                <w:color w:val="333333"/>
                <w:sz w:val="24"/>
              </w:rPr>
            </w:pPr>
            <w:r w:rsidRPr="00545FFC">
              <w:rPr>
                <w:color w:val="333333"/>
                <w:sz w:val="24"/>
              </w:rPr>
              <w:t xml:space="preserve">8. Kong D, Li M, Dong Z, </w:t>
            </w:r>
            <w:proofErr w:type="spellStart"/>
            <w:r w:rsidRPr="00545FFC">
              <w:rPr>
                <w:color w:val="333333"/>
                <w:sz w:val="24"/>
              </w:rPr>
              <w:t>Ji</w:t>
            </w:r>
            <w:proofErr w:type="spellEnd"/>
            <w:r w:rsidRPr="00545FFC">
              <w:rPr>
                <w:color w:val="333333"/>
                <w:sz w:val="24"/>
              </w:rPr>
              <w:t xml:space="preserve"> H, and Li X. (2014) Identification of TaWD40D, a wheat WD40 repeat-containing protein that is associated with plant tolerance to abiotic stresses. Plant Cell Rep. 34:395-410.</w:t>
            </w:r>
          </w:p>
          <w:p w:rsidR="003A363B" w:rsidRPr="00883BE7" w:rsidRDefault="00006502" w:rsidP="00006502">
            <w:pPr>
              <w:spacing w:line="360" w:lineRule="auto"/>
              <w:rPr>
                <w:sz w:val="24"/>
              </w:rPr>
            </w:pPr>
            <w:r w:rsidRPr="00545FFC">
              <w:rPr>
                <w:color w:val="333333"/>
                <w:sz w:val="24"/>
              </w:rPr>
              <w:t xml:space="preserve">9. </w:t>
            </w:r>
            <w:proofErr w:type="spellStart"/>
            <w:r w:rsidRPr="00545FFC">
              <w:rPr>
                <w:color w:val="333333"/>
                <w:sz w:val="24"/>
              </w:rPr>
              <w:t>Luo</w:t>
            </w:r>
            <w:proofErr w:type="spellEnd"/>
            <w:r w:rsidRPr="00545FFC">
              <w:rPr>
                <w:color w:val="333333"/>
                <w:sz w:val="24"/>
              </w:rPr>
              <w:t xml:space="preserve"> Y, Wang Z, </w:t>
            </w:r>
            <w:proofErr w:type="spellStart"/>
            <w:r w:rsidRPr="00545FFC">
              <w:rPr>
                <w:color w:val="333333"/>
                <w:sz w:val="24"/>
              </w:rPr>
              <w:t>Ji</w:t>
            </w:r>
            <w:proofErr w:type="spellEnd"/>
            <w:r w:rsidRPr="00545FFC">
              <w:rPr>
                <w:color w:val="333333"/>
                <w:sz w:val="24"/>
              </w:rPr>
              <w:t xml:space="preserve"> H, Fang H, Wang S, </w:t>
            </w:r>
            <w:proofErr w:type="spellStart"/>
            <w:r w:rsidRPr="00545FFC">
              <w:rPr>
                <w:color w:val="333333"/>
                <w:sz w:val="24"/>
              </w:rPr>
              <w:t>Tian</w:t>
            </w:r>
            <w:proofErr w:type="spellEnd"/>
            <w:r w:rsidRPr="00545FFC">
              <w:rPr>
                <w:color w:val="333333"/>
                <w:sz w:val="24"/>
              </w:rPr>
              <w:t xml:space="preserve"> L, and Li X. (2013) An Arabidopsis homolog of </w:t>
            </w:r>
            <w:proofErr w:type="spellStart"/>
            <w:r w:rsidRPr="00545FFC">
              <w:rPr>
                <w:color w:val="333333"/>
                <w:sz w:val="24"/>
              </w:rPr>
              <w:t>importin</w:t>
            </w:r>
            <w:proofErr w:type="spellEnd"/>
            <w:r w:rsidRPr="00545FFC">
              <w:rPr>
                <w:color w:val="333333"/>
                <w:sz w:val="24"/>
              </w:rPr>
              <w:t xml:space="preserve"> beta 1 is required for ABA response and drought tolerance. Plant J. 2013 75: 377-389</w:t>
            </w:r>
            <w:r w:rsidRPr="00545FFC">
              <w:rPr>
                <w:rFonts w:hint="eastAsia"/>
                <w:color w:val="333333"/>
                <w:sz w:val="24"/>
              </w:rPr>
              <w:t>.</w:t>
            </w: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892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 w:rsidR="00752892" w:rsidRPr="00883BE7" w:rsidTr="00B705D3">
        <w:tblPrEx>
          <w:tblCellMar>
            <w:left w:w="108" w:type="dxa"/>
            <w:right w:w="108" w:type="dxa"/>
          </w:tblCellMar>
        </w:tblPrEx>
        <w:trPr>
          <w:trHeight w:val="2163"/>
        </w:trPr>
        <w:tc>
          <w:tcPr>
            <w:tcW w:w="9476" w:type="dxa"/>
            <w:gridSpan w:val="6"/>
            <w:vAlign w:val="center"/>
          </w:tcPr>
          <w:p w:rsidR="00752892" w:rsidRPr="00883BE7" w:rsidRDefault="00752892" w:rsidP="00623C7F">
            <w:pPr>
              <w:rPr>
                <w:sz w:val="24"/>
              </w:rPr>
            </w:pPr>
          </w:p>
        </w:tc>
      </w:tr>
    </w:tbl>
    <w:p w:rsidR="008A3A3F" w:rsidRDefault="008A3A3F" w:rsidP="008A3A3F">
      <w:pPr>
        <w:jc w:val="center"/>
        <w:rPr>
          <w:sz w:val="24"/>
        </w:rPr>
      </w:pPr>
    </w:p>
    <w:p w:rsidR="00CD6A39" w:rsidRDefault="00CD6A39"/>
    <w:sectPr w:rsidR="00CD6A39" w:rsidSect="00C16E59">
      <w:headerReference w:type="default" r:id="rId9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05" w:rsidRDefault="00772E05" w:rsidP="008A3A3F">
      <w:r>
        <w:separator/>
      </w:r>
    </w:p>
  </w:endnote>
  <w:endnote w:type="continuationSeparator" w:id="0">
    <w:p w:rsidR="00772E05" w:rsidRDefault="00772E05" w:rsidP="008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05" w:rsidRDefault="00772E05" w:rsidP="008A3A3F">
      <w:r>
        <w:separator/>
      </w:r>
    </w:p>
  </w:footnote>
  <w:footnote w:type="continuationSeparator" w:id="0">
    <w:p w:rsidR="00772E05" w:rsidRDefault="00772E05" w:rsidP="008A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15" w:rsidRDefault="00772E05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A3F"/>
    <w:rsid w:val="00006502"/>
    <w:rsid w:val="00026171"/>
    <w:rsid w:val="000371F4"/>
    <w:rsid w:val="003A363B"/>
    <w:rsid w:val="00482D8E"/>
    <w:rsid w:val="00545FFC"/>
    <w:rsid w:val="00587AC1"/>
    <w:rsid w:val="006C3A5C"/>
    <w:rsid w:val="00752892"/>
    <w:rsid w:val="00772E05"/>
    <w:rsid w:val="008A3A3F"/>
    <w:rsid w:val="009815F1"/>
    <w:rsid w:val="00B705D3"/>
    <w:rsid w:val="00C51BCE"/>
    <w:rsid w:val="00CD6A39"/>
    <w:rsid w:val="00DC72A6"/>
    <w:rsid w:val="00EE132E"/>
    <w:rsid w:val="00F0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11</cp:revision>
  <dcterms:created xsi:type="dcterms:W3CDTF">2015-11-26T01:58:00Z</dcterms:created>
  <dcterms:modified xsi:type="dcterms:W3CDTF">2015-11-30T05:57:00Z</dcterms:modified>
</cp:coreProperties>
</file>