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F" w:rsidRPr="00E71983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sz w:val="32"/>
          <w:u w:val="single"/>
        </w:rPr>
      </w:pPr>
      <w:r w:rsidRPr="00E71983">
        <w:rPr>
          <w:b/>
          <w:sz w:val="32"/>
        </w:rPr>
        <w:t>CURRICULUM VITAE</w:t>
      </w:r>
    </w:p>
    <w:p w:rsidR="008A3A3F" w:rsidRPr="00E71983" w:rsidRDefault="008A3A3F" w:rsidP="008A3A3F">
      <w:pPr>
        <w:tabs>
          <w:tab w:val="left" w:pos="840"/>
        </w:tabs>
        <w:rPr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704"/>
        <w:gridCol w:w="2127"/>
        <w:gridCol w:w="1133"/>
        <w:gridCol w:w="1128"/>
        <w:gridCol w:w="2111"/>
      </w:tblGrid>
      <w:tr w:rsidR="00E71983" w:rsidRPr="00E71983" w:rsidTr="00587AC1"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E71983" w:rsidRDefault="00587AC1" w:rsidP="00587AC1">
            <w:pPr>
              <w:jc w:val="left"/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E71983" w:rsidRDefault="005D3798" w:rsidP="00623C7F">
            <w:pPr>
              <w:jc w:val="center"/>
              <w:rPr>
                <w:sz w:val="24"/>
              </w:rPr>
            </w:pPr>
            <w:r w:rsidRPr="00E71983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9537E95" wp14:editId="032BF5F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1905</wp:posOffset>
                  </wp:positionV>
                  <wp:extent cx="1292860" cy="1619885"/>
                  <wp:effectExtent l="0" t="0" r="0" b="0"/>
                  <wp:wrapNone/>
                  <wp:docPr id="1" name="图片 1" descr="Brazil 4×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zil 4×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A5C" w:rsidRPr="00E71983">
              <w:rPr>
                <w:rFonts w:hint="eastAsia"/>
                <w:sz w:val="24"/>
              </w:rPr>
              <w:t>请附上照片</w:t>
            </w:r>
          </w:p>
        </w:tc>
      </w:tr>
      <w:tr w:rsidR="00E71983" w:rsidRPr="00E71983" w:rsidTr="00EE132E"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  <w:r w:rsidRPr="00E71983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E71983" w:rsidRDefault="00267A61" w:rsidP="00623C7F">
            <w:pPr>
              <w:jc w:val="center"/>
              <w:rPr>
                <w:sz w:val="24"/>
              </w:rPr>
            </w:pPr>
            <w:proofErr w:type="spellStart"/>
            <w:r w:rsidRPr="00E71983">
              <w:rPr>
                <w:rFonts w:hint="eastAsia"/>
                <w:sz w:val="24"/>
              </w:rPr>
              <w:t>Yuyang</w:t>
            </w:r>
            <w:proofErr w:type="spellEnd"/>
            <w:r w:rsidRPr="00E71983">
              <w:rPr>
                <w:rFonts w:hint="eastAsia"/>
                <w:sz w:val="24"/>
              </w:rPr>
              <w:t xml:space="preserve"> Zhang</w:t>
            </w:r>
          </w:p>
        </w:tc>
        <w:tc>
          <w:tcPr>
            <w:tcW w:w="2127" w:type="dxa"/>
            <w:vAlign w:val="center"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  <w:r w:rsidRPr="00E71983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E71983" w:rsidRDefault="00267A61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/>
            <w:vAlign w:val="center"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</w:p>
        </w:tc>
      </w:tr>
      <w:tr w:rsidR="00E71983" w:rsidRPr="00E71983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E71983" w:rsidRDefault="00587AC1" w:rsidP="00EE132E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E71983" w:rsidRDefault="0006589F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Professor</w:t>
            </w:r>
          </w:p>
        </w:tc>
        <w:tc>
          <w:tcPr>
            <w:tcW w:w="2111" w:type="dxa"/>
            <w:vMerge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</w:p>
        </w:tc>
      </w:tr>
      <w:tr w:rsidR="00E71983" w:rsidRPr="00E71983" w:rsidTr="00EE132E"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E71983" w:rsidRDefault="00F00A21" w:rsidP="007B2173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 xml:space="preserve">College of </w:t>
            </w:r>
            <w:r w:rsidR="007B2173" w:rsidRPr="00E71983">
              <w:rPr>
                <w:rFonts w:hint="eastAsia"/>
                <w:sz w:val="24"/>
              </w:rPr>
              <w:t>Horticulture</w:t>
            </w:r>
            <w:r w:rsidRPr="00E71983">
              <w:rPr>
                <w:rFonts w:hint="eastAsia"/>
                <w:sz w:val="24"/>
              </w:rPr>
              <w:t xml:space="preserve"> and Forestry Science</w:t>
            </w:r>
          </w:p>
        </w:tc>
        <w:tc>
          <w:tcPr>
            <w:tcW w:w="2111" w:type="dxa"/>
            <w:vMerge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</w:p>
        </w:tc>
      </w:tr>
      <w:tr w:rsidR="00E71983" w:rsidRPr="00E71983" w:rsidTr="00EE132E"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E71983" w:rsidRDefault="00953FF1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yyzhang@mail.hzau.edu.cn</w:t>
            </w:r>
            <w:r w:rsidR="00587AC1" w:rsidRPr="00E71983">
              <w:rPr>
                <w:sz w:val="24"/>
              </w:rPr>
              <w:t xml:space="preserve"> </w:t>
            </w:r>
          </w:p>
        </w:tc>
        <w:tc>
          <w:tcPr>
            <w:tcW w:w="2111" w:type="dxa"/>
            <w:vMerge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</w:p>
        </w:tc>
      </w:tr>
      <w:tr w:rsidR="00E71983" w:rsidRPr="00E71983" w:rsidTr="00EE132E"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E71983" w:rsidRDefault="00FD6923" w:rsidP="00C81795">
            <w:pPr>
              <w:jc w:val="left"/>
              <w:rPr>
                <w:sz w:val="24"/>
              </w:rPr>
            </w:pPr>
            <w:r w:rsidRPr="00E71983">
              <w:rPr>
                <w:sz w:val="24"/>
              </w:rPr>
              <w:t xml:space="preserve">Key Laboratory of Horticultural Plant Biology, Ministry of Education, </w:t>
            </w:r>
            <w:proofErr w:type="spellStart"/>
            <w:r w:rsidRPr="00E71983">
              <w:rPr>
                <w:sz w:val="24"/>
              </w:rPr>
              <w:t>Huazhong</w:t>
            </w:r>
            <w:proofErr w:type="spellEnd"/>
            <w:r w:rsidRPr="00E71983">
              <w:rPr>
                <w:sz w:val="24"/>
              </w:rPr>
              <w:t xml:space="preserve"> Agricultural University, Wuhan 430070, China</w:t>
            </w:r>
          </w:p>
        </w:tc>
        <w:tc>
          <w:tcPr>
            <w:tcW w:w="2111" w:type="dxa"/>
            <w:vMerge/>
          </w:tcPr>
          <w:p w:rsidR="00587AC1" w:rsidRPr="00E71983" w:rsidRDefault="00587AC1" w:rsidP="00623C7F">
            <w:pPr>
              <w:jc w:val="center"/>
              <w:rPr>
                <w:sz w:val="24"/>
              </w:rPr>
            </w:pPr>
          </w:p>
        </w:tc>
      </w:tr>
      <w:tr w:rsidR="00E71983" w:rsidRPr="00E71983" w:rsidTr="00D13227">
        <w:trPr>
          <w:cantSplit/>
          <w:trHeight w:val="161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E71983" w:rsidRDefault="00587AC1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E71983" w:rsidRDefault="00C81795" w:rsidP="00532356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2"/>
              </w:rPr>
              <w:t>086-27-8728</w:t>
            </w:r>
            <w:r w:rsidR="00532356" w:rsidRPr="00E71983">
              <w:rPr>
                <w:rFonts w:hint="eastAsia"/>
                <w:sz w:val="22"/>
              </w:rPr>
              <w:t>3180</w:t>
            </w:r>
          </w:p>
        </w:tc>
        <w:tc>
          <w:tcPr>
            <w:tcW w:w="1133" w:type="dxa"/>
            <w:vAlign w:val="center"/>
          </w:tcPr>
          <w:p w:rsidR="008A3A3F" w:rsidRPr="00E71983" w:rsidRDefault="00587AC1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4"/>
              </w:rPr>
              <w:t>Fax</w:t>
            </w:r>
            <w:r w:rsidR="008A3A3F" w:rsidRPr="00E7198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E71983" w:rsidRDefault="00D13227" w:rsidP="00623C7F">
            <w:pPr>
              <w:jc w:val="center"/>
              <w:rPr>
                <w:sz w:val="24"/>
              </w:rPr>
            </w:pPr>
            <w:r w:rsidRPr="00E71983">
              <w:rPr>
                <w:rFonts w:hint="eastAsia"/>
                <w:sz w:val="22"/>
              </w:rPr>
              <w:t>086-27-87282010</w:t>
            </w:r>
          </w:p>
        </w:tc>
      </w:tr>
      <w:tr w:rsidR="00E71983" w:rsidRPr="00E71983" w:rsidTr="00587AC1"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E71983" w:rsidRDefault="00587AC1" w:rsidP="00587AC1">
            <w:pPr>
              <w:jc w:val="left"/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E71983" w:rsidRPr="00E71983" w:rsidTr="00587AC1"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067525" w:rsidRPr="00E71983" w:rsidRDefault="00067525" w:rsidP="0006752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</w:rPr>
            </w:pPr>
            <w:r w:rsidRPr="00E71983">
              <w:rPr>
                <w:rFonts w:hint="eastAsia"/>
                <w:sz w:val="22"/>
              </w:rPr>
              <w:t>The vegetable quality (</w:t>
            </w:r>
            <w:r w:rsidRPr="00E71983">
              <w:rPr>
                <w:sz w:val="22"/>
              </w:rPr>
              <w:t>nutrition</w:t>
            </w:r>
            <w:r w:rsidR="00DD2766" w:rsidRPr="00E71983">
              <w:rPr>
                <w:rFonts w:hint="eastAsia"/>
                <w:sz w:val="22"/>
              </w:rPr>
              <w:t xml:space="preserve">, </w:t>
            </w:r>
            <w:r w:rsidR="004F3DA9" w:rsidRPr="00E71983">
              <w:rPr>
                <w:sz w:val="22"/>
              </w:rPr>
              <w:t>flavor</w:t>
            </w:r>
            <w:r w:rsidR="00DD2766" w:rsidRPr="00E71983">
              <w:rPr>
                <w:rFonts w:hint="eastAsia"/>
                <w:sz w:val="22"/>
              </w:rPr>
              <w:t xml:space="preserve">, </w:t>
            </w:r>
            <w:r w:rsidR="004F3DA9" w:rsidRPr="00E71983">
              <w:rPr>
                <w:sz w:val="22"/>
              </w:rPr>
              <w:t>safety</w:t>
            </w:r>
            <w:r w:rsidRPr="00E71983">
              <w:rPr>
                <w:rFonts w:hint="eastAsia"/>
                <w:sz w:val="22"/>
              </w:rPr>
              <w:t xml:space="preserve">) formation and its </w:t>
            </w:r>
            <w:r w:rsidRPr="00E71983">
              <w:rPr>
                <w:sz w:val="22"/>
              </w:rPr>
              <w:t>regulation</w:t>
            </w:r>
          </w:p>
          <w:p w:rsidR="00067525" w:rsidRPr="00E71983" w:rsidRDefault="00067525" w:rsidP="0006752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</w:rPr>
            </w:pPr>
            <w:r w:rsidRPr="00E71983">
              <w:rPr>
                <w:rFonts w:hint="eastAsia"/>
                <w:sz w:val="22"/>
              </w:rPr>
              <w:t xml:space="preserve">Molecular </w:t>
            </w:r>
            <w:r w:rsidRPr="00E71983">
              <w:rPr>
                <w:sz w:val="22"/>
              </w:rPr>
              <w:t>biology</w:t>
            </w:r>
            <w:r w:rsidRPr="00E71983">
              <w:rPr>
                <w:rFonts w:hint="eastAsia"/>
                <w:sz w:val="22"/>
              </w:rPr>
              <w:t xml:space="preserve"> and </w:t>
            </w:r>
            <w:r w:rsidRPr="00E71983">
              <w:rPr>
                <w:sz w:val="22"/>
              </w:rPr>
              <w:t>biotechnology</w:t>
            </w:r>
            <w:r w:rsidRPr="00E71983">
              <w:rPr>
                <w:rFonts w:hint="eastAsia"/>
                <w:sz w:val="22"/>
              </w:rPr>
              <w:t xml:space="preserve"> </w:t>
            </w:r>
            <w:r w:rsidRPr="00E71983">
              <w:rPr>
                <w:sz w:val="22"/>
              </w:rPr>
              <w:t>applied</w:t>
            </w:r>
            <w:r w:rsidRPr="00E71983">
              <w:rPr>
                <w:rFonts w:hint="eastAsia"/>
                <w:sz w:val="22"/>
              </w:rPr>
              <w:t xml:space="preserve"> in vegetable crops</w:t>
            </w:r>
          </w:p>
          <w:p w:rsidR="00587AC1" w:rsidRPr="00E71983" w:rsidRDefault="00067525" w:rsidP="0006752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4"/>
              </w:rPr>
            </w:pPr>
            <w:r w:rsidRPr="00E71983">
              <w:rPr>
                <w:sz w:val="22"/>
              </w:rPr>
              <w:t>Vegetable</w:t>
            </w:r>
            <w:r w:rsidRPr="00E71983">
              <w:rPr>
                <w:rFonts w:hint="eastAsia"/>
                <w:sz w:val="22"/>
              </w:rPr>
              <w:t xml:space="preserve"> germplasm </w:t>
            </w:r>
            <w:r w:rsidRPr="00E71983">
              <w:rPr>
                <w:sz w:val="22"/>
              </w:rPr>
              <w:t>enhancement</w:t>
            </w:r>
            <w:r w:rsidRPr="00E71983">
              <w:rPr>
                <w:rFonts w:hint="eastAsia"/>
                <w:sz w:val="22"/>
              </w:rPr>
              <w:t xml:space="preserve"> and molecular breeding</w:t>
            </w:r>
          </w:p>
        </w:tc>
      </w:tr>
      <w:tr w:rsidR="00E71983" w:rsidRPr="00E71983" w:rsidTr="003A363B"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E71983" w:rsidRDefault="00587AC1" w:rsidP="00587AC1">
            <w:pPr>
              <w:jc w:val="left"/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t>Professional Memberships</w:t>
            </w:r>
          </w:p>
        </w:tc>
      </w:tr>
      <w:tr w:rsidR="00E71983" w:rsidRPr="00E71983" w:rsidTr="00587AC1">
        <w:trPr>
          <w:trHeight w:val="1528"/>
        </w:trPr>
        <w:tc>
          <w:tcPr>
            <w:tcW w:w="9476" w:type="dxa"/>
            <w:gridSpan w:val="6"/>
            <w:vAlign w:val="center"/>
          </w:tcPr>
          <w:p w:rsidR="00587AC1" w:rsidRPr="00E71983" w:rsidRDefault="00067525" w:rsidP="005E0C2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rPr>
                <w:sz w:val="22"/>
                <w:szCs w:val="22"/>
              </w:rPr>
            </w:pPr>
            <w:r w:rsidRPr="00E71983">
              <w:rPr>
                <w:sz w:val="22"/>
                <w:szCs w:val="22"/>
              </w:rPr>
              <w:t>Member</w:t>
            </w:r>
            <w:r w:rsidRPr="00E71983">
              <w:rPr>
                <w:rFonts w:hint="eastAsia"/>
                <w:sz w:val="22"/>
                <w:szCs w:val="22"/>
              </w:rPr>
              <w:t xml:space="preserve"> of </w:t>
            </w:r>
            <w:r w:rsidRPr="00E71983">
              <w:rPr>
                <w:rFonts w:hAnsi="宋体"/>
                <w:sz w:val="22"/>
                <w:szCs w:val="22"/>
              </w:rPr>
              <w:t>Chinese</w:t>
            </w:r>
            <w:r w:rsidRPr="00E71983">
              <w:rPr>
                <w:sz w:val="22"/>
                <w:szCs w:val="22"/>
              </w:rPr>
              <w:t xml:space="preserve"> Society for Horticultural Science</w:t>
            </w:r>
            <w:r w:rsidRPr="00E71983">
              <w:rPr>
                <w:rFonts w:hint="eastAsia"/>
                <w:sz w:val="22"/>
                <w:szCs w:val="22"/>
              </w:rPr>
              <w:t>, and e</w:t>
            </w:r>
            <w:r w:rsidRPr="00E71983">
              <w:rPr>
                <w:sz w:val="22"/>
                <w:szCs w:val="22"/>
              </w:rPr>
              <w:t>xecutive member</w:t>
            </w:r>
            <w:r w:rsidRPr="00E71983">
              <w:rPr>
                <w:rFonts w:hint="eastAsia"/>
                <w:sz w:val="22"/>
                <w:szCs w:val="22"/>
              </w:rPr>
              <w:t xml:space="preserve"> of </w:t>
            </w:r>
            <w:r w:rsidRPr="00E71983">
              <w:rPr>
                <w:sz w:val="22"/>
                <w:szCs w:val="22"/>
              </w:rPr>
              <w:t>tomato</w:t>
            </w:r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council</w:t>
            </w:r>
            <w:r w:rsidR="00A862AD" w:rsidRPr="00E71983">
              <w:rPr>
                <w:rFonts w:hint="eastAsia"/>
                <w:sz w:val="22"/>
                <w:szCs w:val="22"/>
              </w:rPr>
              <w:t xml:space="preserve">, member of molecular breeding </w:t>
            </w:r>
            <w:r w:rsidR="00EB390D" w:rsidRPr="00E71983">
              <w:rPr>
                <w:sz w:val="22"/>
                <w:szCs w:val="22"/>
              </w:rPr>
              <w:t>council</w:t>
            </w:r>
          </w:p>
        </w:tc>
      </w:tr>
      <w:tr w:rsidR="00E71983" w:rsidRPr="00E71983" w:rsidTr="003A363B"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E71983" w:rsidRDefault="00587AC1" w:rsidP="00623C7F">
            <w:pPr>
              <w:jc w:val="left"/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t>Other Roles</w:t>
            </w:r>
          </w:p>
        </w:tc>
      </w:tr>
      <w:tr w:rsidR="00E71983" w:rsidRPr="00E71983" w:rsidTr="00587AC1">
        <w:tblPrEx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5E0C23" w:rsidRPr="00E71983" w:rsidRDefault="005E0C23" w:rsidP="005E0C23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rPr>
                <w:sz w:val="22"/>
                <w:szCs w:val="22"/>
              </w:rPr>
            </w:pPr>
            <w:r w:rsidRPr="00E71983">
              <w:rPr>
                <w:rFonts w:hAnsi="宋体" w:hint="eastAsia"/>
                <w:sz w:val="22"/>
                <w:szCs w:val="22"/>
              </w:rPr>
              <w:t xml:space="preserve">Reviewers for </w:t>
            </w:r>
            <w:r w:rsidRPr="00E71983">
              <w:rPr>
                <w:rFonts w:hAnsi="宋体"/>
                <w:sz w:val="22"/>
                <w:szCs w:val="22"/>
              </w:rPr>
              <w:t>academic</w:t>
            </w:r>
            <w:r w:rsidRPr="00E71983">
              <w:rPr>
                <w:rFonts w:hAnsi="宋体" w:hint="eastAsia"/>
                <w:sz w:val="22"/>
                <w:szCs w:val="22"/>
              </w:rPr>
              <w:t xml:space="preserve"> journals e.g. Frontier in Plant </w:t>
            </w:r>
            <w:r w:rsidRPr="00E71983">
              <w:rPr>
                <w:rFonts w:hAnsi="宋体"/>
                <w:sz w:val="22"/>
                <w:szCs w:val="22"/>
              </w:rPr>
              <w:t>Science</w:t>
            </w:r>
            <w:r w:rsidRPr="00E71983">
              <w:rPr>
                <w:rFonts w:hAnsi="宋体" w:hint="eastAsia"/>
                <w:sz w:val="22"/>
                <w:szCs w:val="22"/>
              </w:rPr>
              <w:t xml:space="preserve">, </w:t>
            </w:r>
            <w:proofErr w:type="spellStart"/>
            <w:r w:rsidRPr="00E71983">
              <w:rPr>
                <w:rFonts w:hAnsi="宋体"/>
                <w:sz w:val="22"/>
                <w:szCs w:val="22"/>
              </w:rPr>
              <w:t>Scientia</w:t>
            </w:r>
            <w:proofErr w:type="spellEnd"/>
            <w:r w:rsidRPr="00E71983">
              <w:rPr>
                <w:rFonts w:hAnsi="宋体"/>
                <w:sz w:val="22"/>
                <w:szCs w:val="22"/>
              </w:rPr>
              <w:t xml:space="preserve"> </w:t>
            </w:r>
            <w:proofErr w:type="spellStart"/>
            <w:r w:rsidRPr="00E71983">
              <w:rPr>
                <w:rFonts w:hAnsi="宋体"/>
                <w:sz w:val="22"/>
                <w:szCs w:val="22"/>
              </w:rPr>
              <w:t>Horticultura</w:t>
            </w:r>
            <w:proofErr w:type="spellEnd"/>
            <w:r w:rsidRPr="00E71983">
              <w:rPr>
                <w:rFonts w:hAnsi="宋体" w:hint="eastAsia"/>
                <w:sz w:val="22"/>
                <w:szCs w:val="22"/>
              </w:rPr>
              <w:t xml:space="preserve">, </w:t>
            </w:r>
            <w:r w:rsidR="003C75C6" w:rsidRPr="00E71983">
              <w:rPr>
                <w:rFonts w:hAnsi="宋体"/>
                <w:sz w:val="22"/>
                <w:szCs w:val="22"/>
              </w:rPr>
              <w:t>Horticultural Plant Journal</w:t>
            </w:r>
            <w:r w:rsidR="003C75C6" w:rsidRPr="00E71983">
              <w:rPr>
                <w:rFonts w:hAnsi="宋体" w:hint="eastAsia"/>
                <w:sz w:val="22"/>
                <w:szCs w:val="22"/>
              </w:rPr>
              <w:t xml:space="preserve">, </w:t>
            </w:r>
            <w:r w:rsidR="00C244F0" w:rsidRPr="00E71983">
              <w:rPr>
                <w:rFonts w:hAnsi="宋体" w:hint="eastAsia"/>
                <w:sz w:val="22"/>
                <w:szCs w:val="22"/>
              </w:rPr>
              <w:t xml:space="preserve">Plant Cell Reports, </w:t>
            </w:r>
            <w:r w:rsidRPr="00E71983">
              <w:rPr>
                <w:rFonts w:hAnsi="宋体"/>
                <w:sz w:val="22"/>
                <w:szCs w:val="22"/>
              </w:rPr>
              <w:t>Molecular Biology Reporter</w:t>
            </w:r>
            <w:r w:rsidRPr="00E71983">
              <w:rPr>
                <w:rFonts w:hAnsi="宋体" w:hint="eastAsia"/>
                <w:sz w:val="22"/>
                <w:szCs w:val="22"/>
              </w:rPr>
              <w:t xml:space="preserve">, </w:t>
            </w:r>
            <w:r w:rsidRPr="00E71983">
              <w:rPr>
                <w:rFonts w:hAnsi="宋体"/>
                <w:sz w:val="22"/>
                <w:szCs w:val="22"/>
              </w:rPr>
              <w:t>Plant Cell, Tissue and Organ Culture</w:t>
            </w:r>
            <w:r w:rsidR="00C244F0" w:rsidRPr="00E71983">
              <w:rPr>
                <w:rFonts w:hAnsi="宋体" w:hint="eastAsia"/>
                <w:sz w:val="22"/>
                <w:szCs w:val="22"/>
              </w:rPr>
              <w:t xml:space="preserve"> </w:t>
            </w:r>
            <w:r w:rsidRPr="00E71983">
              <w:rPr>
                <w:rFonts w:hint="eastAsia"/>
                <w:sz w:val="22"/>
                <w:szCs w:val="22"/>
              </w:rPr>
              <w:t>and several journals in Chinese</w:t>
            </w:r>
          </w:p>
          <w:p w:rsidR="00587AC1" w:rsidRPr="00E71983" w:rsidRDefault="00587AC1" w:rsidP="00752892">
            <w:pPr>
              <w:pStyle w:val="a6"/>
              <w:ind w:left="420" w:firstLineChars="0" w:firstLine="0"/>
              <w:rPr>
                <w:sz w:val="24"/>
              </w:rPr>
            </w:pPr>
          </w:p>
        </w:tc>
      </w:tr>
      <w:tr w:rsidR="00E71983" w:rsidRPr="00E71983" w:rsidTr="00752892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E71983" w:rsidRDefault="00752892" w:rsidP="006C3A5C">
            <w:pPr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t xml:space="preserve">Education </w:t>
            </w:r>
            <w:r w:rsidR="006C3A5C" w:rsidRPr="00E71983">
              <w:rPr>
                <w:rFonts w:hint="eastAsia"/>
                <w:b/>
                <w:sz w:val="24"/>
              </w:rPr>
              <w:t>&amp;</w:t>
            </w:r>
            <w:r w:rsidRPr="00E71983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E71983" w:rsidRPr="00E71983" w:rsidTr="003A363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A349E5" w:rsidRPr="00E71983" w:rsidRDefault="00A349E5" w:rsidP="00A349E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  <w:szCs w:val="22"/>
              </w:rPr>
            </w:pPr>
            <w:r w:rsidRPr="00E71983">
              <w:rPr>
                <w:rFonts w:hint="eastAsia"/>
                <w:sz w:val="22"/>
                <w:szCs w:val="22"/>
              </w:rPr>
              <w:t xml:space="preserve">1997-2001, </w:t>
            </w:r>
            <w:proofErr w:type="spellStart"/>
            <w:r w:rsidRPr="00E71983">
              <w:rPr>
                <w:rFonts w:hint="eastAsia"/>
                <w:sz w:val="22"/>
                <w:szCs w:val="22"/>
              </w:rPr>
              <w:t>Huazhong</w:t>
            </w:r>
            <w:proofErr w:type="spellEnd"/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Agricultural</w:t>
            </w:r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University</w:t>
            </w:r>
            <w:r w:rsidRPr="00E71983">
              <w:rPr>
                <w:rFonts w:hint="eastAsia"/>
                <w:sz w:val="22"/>
                <w:szCs w:val="22"/>
              </w:rPr>
              <w:t xml:space="preserve">, </w:t>
            </w:r>
            <w:r w:rsidRPr="00E71983">
              <w:rPr>
                <w:sz w:val="22"/>
                <w:szCs w:val="22"/>
              </w:rPr>
              <w:t>B</w:t>
            </w:r>
            <w:r w:rsidRPr="00E71983">
              <w:rPr>
                <w:rFonts w:hint="eastAsia"/>
                <w:sz w:val="22"/>
                <w:szCs w:val="22"/>
              </w:rPr>
              <w:t xml:space="preserve">. </w:t>
            </w:r>
            <w:proofErr w:type="spellStart"/>
            <w:r w:rsidRPr="00E71983">
              <w:rPr>
                <w:sz w:val="22"/>
                <w:szCs w:val="22"/>
              </w:rPr>
              <w:t>Sc</w:t>
            </w:r>
            <w:proofErr w:type="spellEnd"/>
          </w:p>
          <w:p w:rsidR="00A349E5" w:rsidRPr="00E71983" w:rsidRDefault="00A349E5" w:rsidP="00A349E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  <w:szCs w:val="22"/>
              </w:rPr>
            </w:pPr>
            <w:r w:rsidRPr="00E71983">
              <w:rPr>
                <w:rFonts w:hint="eastAsia"/>
                <w:sz w:val="22"/>
                <w:szCs w:val="22"/>
              </w:rPr>
              <w:t xml:space="preserve">2001-2006 , </w:t>
            </w:r>
            <w:proofErr w:type="spellStart"/>
            <w:r w:rsidRPr="00E71983">
              <w:rPr>
                <w:rFonts w:hint="eastAsia"/>
                <w:sz w:val="22"/>
                <w:szCs w:val="22"/>
              </w:rPr>
              <w:t>Huazhong</w:t>
            </w:r>
            <w:proofErr w:type="spellEnd"/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Agricultural</w:t>
            </w:r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University</w:t>
            </w:r>
            <w:r w:rsidRPr="00E71983">
              <w:rPr>
                <w:rFonts w:hint="eastAsia"/>
                <w:sz w:val="22"/>
                <w:szCs w:val="22"/>
              </w:rPr>
              <w:t>, PhD candidate</w:t>
            </w:r>
          </w:p>
          <w:p w:rsidR="00A349E5" w:rsidRPr="00E71983" w:rsidRDefault="00A349E5" w:rsidP="00A349E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  <w:szCs w:val="22"/>
              </w:rPr>
            </w:pPr>
            <w:r w:rsidRPr="00E71983">
              <w:rPr>
                <w:rFonts w:hint="eastAsia"/>
                <w:sz w:val="22"/>
                <w:szCs w:val="22"/>
              </w:rPr>
              <w:t xml:space="preserve">2007-2008, </w:t>
            </w:r>
            <w:proofErr w:type="spellStart"/>
            <w:r w:rsidRPr="00E71983">
              <w:rPr>
                <w:sz w:val="22"/>
                <w:szCs w:val="22"/>
              </w:rPr>
              <w:t>Wageningen</w:t>
            </w:r>
            <w:proofErr w:type="spellEnd"/>
            <w:r w:rsidRPr="00E71983">
              <w:rPr>
                <w:sz w:val="22"/>
                <w:szCs w:val="22"/>
              </w:rPr>
              <w:t xml:space="preserve"> University</w:t>
            </w:r>
            <w:r w:rsidRPr="00E71983">
              <w:rPr>
                <w:rFonts w:hint="eastAsia"/>
                <w:sz w:val="22"/>
                <w:szCs w:val="22"/>
              </w:rPr>
              <w:t xml:space="preserve">, </w:t>
            </w:r>
            <w:r w:rsidR="00D61D17" w:rsidRPr="00E71983">
              <w:rPr>
                <w:rFonts w:hint="eastAsia"/>
                <w:sz w:val="22"/>
                <w:szCs w:val="22"/>
              </w:rPr>
              <w:t xml:space="preserve">visiting </w:t>
            </w:r>
            <w:r w:rsidR="00D61D17" w:rsidRPr="00E71983">
              <w:rPr>
                <w:sz w:val="22"/>
                <w:szCs w:val="22"/>
              </w:rPr>
              <w:t>scholar</w:t>
            </w:r>
          </w:p>
          <w:p w:rsidR="00A349E5" w:rsidRPr="00E71983" w:rsidRDefault="00A349E5" w:rsidP="00A349E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  <w:szCs w:val="22"/>
              </w:rPr>
            </w:pPr>
            <w:r w:rsidRPr="00E71983">
              <w:rPr>
                <w:rFonts w:hint="eastAsia"/>
                <w:sz w:val="22"/>
                <w:szCs w:val="22"/>
              </w:rPr>
              <w:t xml:space="preserve">2006-2008, </w:t>
            </w:r>
            <w:proofErr w:type="spellStart"/>
            <w:r w:rsidRPr="00E71983">
              <w:rPr>
                <w:rFonts w:hint="eastAsia"/>
                <w:sz w:val="22"/>
                <w:szCs w:val="22"/>
              </w:rPr>
              <w:t>Huazhong</w:t>
            </w:r>
            <w:proofErr w:type="spellEnd"/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Agricultural</w:t>
            </w:r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University</w:t>
            </w:r>
            <w:r w:rsidRPr="00E71983">
              <w:rPr>
                <w:rFonts w:hint="eastAsia"/>
                <w:sz w:val="22"/>
                <w:szCs w:val="22"/>
              </w:rPr>
              <w:t>, l</w:t>
            </w:r>
            <w:r w:rsidRPr="00E71983">
              <w:rPr>
                <w:sz w:val="22"/>
                <w:szCs w:val="22"/>
              </w:rPr>
              <w:t>ecture</w:t>
            </w:r>
          </w:p>
          <w:p w:rsidR="00A349E5" w:rsidRPr="00E71983" w:rsidRDefault="00A349E5" w:rsidP="00A349E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  <w:szCs w:val="22"/>
              </w:rPr>
            </w:pPr>
            <w:r w:rsidRPr="00E71983">
              <w:rPr>
                <w:rFonts w:hint="eastAsia"/>
                <w:sz w:val="22"/>
                <w:szCs w:val="22"/>
              </w:rPr>
              <w:t xml:space="preserve">2011-2012, Israel Agricultural Research </w:t>
            </w:r>
            <w:r w:rsidRPr="00E71983">
              <w:rPr>
                <w:sz w:val="22"/>
                <w:szCs w:val="22"/>
              </w:rPr>
              <w:t>Organization</w:t>
            </w:r>
            <w:r w:rsidR="0085544F" w:rsidRPr="00E71983">
              <w:rPr>
                <w:rFonts w:hint="eastAsia"/>
                <w:sz w:val="22"/>
                <w:szCs w:val="22"/>
              </w:rPr>
              <w:t xml:space="preserve">, </w:t>
            </w:r>
            <w:proofErr w:type="spellStart"/>
            <w:r w:rsidR="0085544F" w:rsidRPr="00E71983">
              <w:rPr>
                <w:rFonts w:hint="eastAsia"/>
                <w:sz w:val="22"/>
                <w:szCs w:val="22"/>
              </w:rPr>
              <w:t>Volcani</w:t>
            </w:r>
            <w:proofErr w:type="spellEnd"/>
            <w:r w:rsidR="0085544F" w:rsidRPr="00E71983">
              <w:rPr>
                <w:rFonts w:hint="eastAsia"/>
                <w:sz w:val="22"/>
                <w:szCs w:val="22"/>
              </w:rPr>
              <w:t xml:space="preserve"> Center, </w:t>
            </w:r>
            <w:r w:rsidR="0085544F" w:rsidRPr="00E71983">
              <w:rPr>
                <w:sz w:val="22"/>
                <w:szCs w:val="22"/>
              </w:rPr>
              <w:t>post doctorate</w:t>
            </w:r>
          </w:p>
          <w:p w:rsidR="00A349E5" w:rsidRPr="00E71983" w:rsidRDefault="00A349E5" w:rsidP="00A349E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2"/>
                <w:szCs w:val="22"/>
              </w:rPr>
            </w:pPr>
            <w:r w:rsidRPr="00E71983">
              <w:rPr>
                <w:rFonts w:hint="eastAsia"/>
                <w:sz w:val="22"/>
                <w:szCs w:val="22"/>
              </w:rPr>
              <w:t xml:space="preserve">2008-2013 , </w:t>
            </w:r>
            <w:bookmarkStart w:id="0" w:name="OLE_LINK1"/>
            <w:proofErr w:type="spellStart"/>
            <w:r w:rsidRPr="00E71983">
              <w:rPr>
                <w:rFonts w:hint="eastAsia"/>
                <w:sz w:val="22"/>
                <w:szCs w:val="22"/>
              </w:rPr>
              <w:t>Huazhong</w:t>
            </w:r>
            <w:proofErr w:type="spellEnd"/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Agricultural</w:t>
            </w:r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University</w:t>
            </w:r>
            <w:r w:rsidRPr="00E71983">
              <w:rPr>
                <w:rFonts w:hint="eastAsia"/>
                <w:sz w:val="22"/>
                <w:szCs w:val="22"/>
              </w:rPr>
              <w:t xml:space="preserve">, </w:t>
            </w:r>
            <w:r w:rsidRPr="00E71983">
              <w:rPr>
                <w:sz w:val="22"/>
                <w:szCs w:val="22"/>
              </w:rPr>
              <w:t>associate</w:t>
            </w:r>
            <w:r w:rsidRPr="00E71983">
              <w:rPr>
                <w:rFonts w:hint="eastAsia"/>
                <w:sz w:val="22"/>
                <w:szCs w:val="22"/>
              </w:rPr>
              <w:t xml:space="preserve"> professor</w:t>
            </w:r>
            <w:bookmarkEnd w:id="0"/>
          </w:p>
          <w:p w:rsidR="00752892" w:rsidRPr="00E71983" w:rsidRDefault="00A349E5" w:rsidP="00A349E5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08" w:lineRule="atLeast"/>
              <w:jc w:val="left"/>
              <w:rPr>
                <w:sz w:val="24"/>
              </w:rPr>
            </w:pPr>
            <w:r w:rsidRPr="00E71983">
              <w:rPr>
                <w:rFonts w:hint="eastAsia"/>
                <w:sz w:val="22"/>
                <w:szCs w:val="22"/>
              </w:rPr>
              <w:t>2013-</w:t>
            </w:r>
            <w:r w:rsidR="00DD2B4C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rFonts w:hint="eastAsia"/>
                <w:sz w:val="22"/>
                <w:szCs w:val="22"/>
              </w:rPr>
              <w:t xml:space="preserve">, </w:t>
            </w:r>
            <w:proofErr w:type="spellStart"/>
            <w:r w:rsidRPr="00E71983">
              <w:rPr>
                <w:rFonts w:hint="eastAsia"/>
                <w:sz w:val="22"/>
                <w:szCs w:val="22"/>
              </w:rPr>
              <w:t>Huazhong</w:t>
            </w:r>
            <w:proofErr w:type="spellEnd"/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Agricultural</w:t>
            </w:r>
            <w:r w:rsidRPr="00E71983">
              <w:rPr>
                <w:rFonts w:hint="eastAsia"/>
                <w:sz w:val="22"/>
                <w:szCs w:val="22"/>
              </w:rPr>
              <w:t xml:space="preserve"> </w:t>
            </w:r>
            <w:r w:rsidRPr="00E71983">
              <w:rPr>
                <w:sz w:val="22"/>
                <w:szCs w:val="22"/>
              </w:rPr>
              <w:t>University</w:t>
            </w:r>
            <w:r w:rsidRPr="00E71983">
              <w:rPr>
                <w:rFonts w:hint="eastAsia"/>
                <w:sz w:val="22"/>
                <w:szCs w:val="22"/>
              </w:rPr>
              <w:t>, professor</w:t>
            </w:r>
          </w:p>
        </w:tc>
      </w:tr>
      <w:tr w:rsidR="00E71983" w:rsidRPr="00E71983" w:rsidTr="00C84199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E71983" w:rsidRDefault="00A43906" w:rsidP="00623C7F">
            <w:pPr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lastRenderedPageBreak/>
              <w:t xml:space="preserve">Selected </w:t>
            </w:r>
            <w:r w:rsidR="00752892" w:rsidRPr="00E71983">
              <w:rPr>
                <w:rFonts w:hint="eastAsia"/>
                <w:b/>
                <w:sz w:val="24"/>
              </w:rPr>
              <w:t>Publications</w:t>
            </w:r>
          </w:p>
        </w:tc>
      </w:tr>
      <w:tr w:rsidR="00E71983" w:rsidRPr="00E71983" w:rsidTr="00752892">
        <w:tblPrEx>
          <w:tblCellMar>
            <w:left w:w="108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72618F" w:rsidRPr="00E71983" w:rsidRDefault="0072618F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4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OLE_LINK85"/>
            <w:bookmarkStart w:id="2" w:name="OLE_LINK95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J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Wang X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Hu T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Zhang F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Wang B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Li C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Yang T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="00ED4D20"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Li H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="00ED4D20"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Lu Y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,</w:t>
            </w:r>
            <w:r w:rsidR="00ED4D20"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Giovannoni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J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*,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Zhang Y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*,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Ye Z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*. </w:t>
            </w:r>
            <w:bookmarkStart w:id="3" w:name="OLE_LINK56"/>
            <w:bookmarkStart w:id="4" w:name="OLE_LINK84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An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InDel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in the promoter of Al-activated malate transporter 9 </w:t>
            </w:r>
            <w:proofErr w:type="gram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was selected</w:t>
            </w:r>
            <w:proofErr w:type="gram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for during tomato domestication and determines fruit malate contents and aluminum tolerance</w:t>
            </w:r>
            <w:bookmarkEnd w:id="3"/>
            <w:bookmarkEnd w:id="4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. Plant Cell, 2017, 29:2249-2268</w:t>
            </w:r>
          </w:p>
          <w:bookmarkEnd w:id="1"/>
          <w:bookmarkEnd w:id="2"/>
          <w:p w:rsidR="0072618F" w:rsidRPr="00E71983" w:rsidRDefault="0072618F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4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Hu T, Ye J, Tao P, Li H, Zhang J, Zhang Y *, Ye Z*</w:t>
            </w:r>
            <w:r w:rsidR="00C84199"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Tomato HD-Zip I transcription factor, SlHZ24, modulates ascorbate accumulation through positively regulating the D-mannose/L-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galactose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pathway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. Plant Journal,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16</w:t>
            </w:r>
            <w:r w:rsidR="00BF0C77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  <w:p w:rsidR="0072618F" w:rsidRPr="00E71983" w:rsidRDefault="0072618F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4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Cai</w:t>
            </w:r>
            <w:proofErr w:type="spellEnd"/>
            <w:proofErr w:type="gram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, X, Zhang, C,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Shu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, W, Ye, Z, Li, H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Zhang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Y*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.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The transcription factor SlDof22 involved in ascorbate accumulation and salinity stress in tomato.</w:t>
            </w:r>
            <w:r w:rsidR="009E42DB"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Biochemical and Biophysical Research Communications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2016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474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:736-741</w:t>
            </w:r>
          </w:p>
          <w:p w:rsidR="0072618F" w:rsidRPr="00E71983" w:rsidRDefault="0072618F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4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Hou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X,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Feng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L, Liu G,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Saeed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D A, Li H, Zhang Y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*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DE4241"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Ye, Z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. </w:t>
            </w:r>
            <w:proofErr w:type="gramStart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The influence of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growth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media pH on ascorbic acid accumulation and biosynthetic gene expression in tomato.</w:t>
            </w:r>
            <w:proofErr w:type="gramEnd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Scientia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Horticulturae</w:t>
            </w:r>
            <w:proofErr w:type="spellEnd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2015,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637</w:t>
            </w:r>
            <w:r w:rsidR="00BF0C77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643</w:t>
            </w:r>
          </w:p>
          <w:p w:rsidR="000A6697" w:rsidRPr="00E71983" w:rsidRDefault="000A6697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29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OLE_LINK67"/>
            <w:bookmarkStart w:id="6" w:name="OLE_LINK68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Ye J, Hu T, Yang C, Li H, Yang M, </w:t>
            </w:r>
            <w:proofErr w:type="spellStart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Ijaz</w:t>
            </w:r>
            <w:proofErr w:type="spellEnd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R, Ye Z, Zhang Y*.Tra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nscriptome profiling of tomato fruit development reveals transcription factors associated with ascorbic acid, carotenoid and flavonoid biosynthes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is. </w:t>
            </w:r>
            <w:proofErr w:type="spellStart"/>
            <w:proofErr w:type="gramStart"/>
            <w:r w:rsidR="00ED4D20" w:rsidRPr="00E71983">
              <w:rPr>
                <w:rFonts w:ascii="Times New Roman" w:hAnsi="Times New Roman" w:cs="Times New Roman"/>
                <w:sz w:val="21"/>
                <w:szCs w:val="21"/>
              </w:rPr>
              <w:t>PLoS</w:t>
            </w:r>
            <w:proofErr w:type="spellEnd"/>
            <w:r w:rsidR="00ED4D20"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One.</w:t>
            </w:r>
            <w:proofErr w:type="gramEnd"/>
            <w:r w:rsidR="00ED4D20"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2015</w:t>
            </w:r>
            <w:r w:rsidR="00ED4D20"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10(7):e0130885</w:t>
            </w:r>
          </w:p>
          <w:p w:rsidR="000A6697" w:rsidRPr="00E71983" w:rsidRDefault="000A6697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29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OLE_LINK43"/>
            <w:bookmarkStart w:id="8" w:name="OLE_LINK66"/>
            <w:bookmarkStart w:id="9" w:name="OLE_LINK69"/>
            <w:bookmarkEnd w:id="5"/>
            <w:bookmarkEnd w:id="6"/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Cai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Zhang C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Ye J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Hu T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Ye Z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Li H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*,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Zhang Y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*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. Ectopic expression of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FaGalUR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leads to ascorbate accumulation with enhanced oxidative stress, cold, and salt tolerance in tomato. Plant Growth Regul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ation, 2015,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):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187-197</w:t>
            </w:r>
          </w:p>
          <w:bookmarkEnd w:id="7"/>
          <w:bookmarkEnd w:id="8"/>
          <w:bookmarkEnd w:id="9"/>
          <w:p w:rsidR="000A6697" w:rsidRPr="00E71983" w:rsidRDefault="000A6697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297"/>
              <w:jc w:val="both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proofErr w:type="gram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Lin T, Zhu G, Zhang J,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Xu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X, Yu Q,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Zheng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Z, Zhang Z,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Lun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Y, Li S, Wang X, Huang Z, Li J, Zhang C, Wang T, Zhang Y, Wang A, Zhang Y, Lin K, Li C,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Xiong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G,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Xue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Y,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Mazzucato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A,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Causse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M,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Fei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Z,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Giovannoni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JJ,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Chetelat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RT,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Zamir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D, </w:t>
            </w:r>
            <w:proofErr w:type="spellStart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Städler</w:t>
            </w:r>
            <w:proofErr w:type="spellEnd"/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T, Li J, Ye Z, Du Y, Huang S.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Genomic analyses provide insights into the history of tomato breeding.</w:t>
            </w:r>
            <w:proofErr w:type="gramEnd"/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Nature Genet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ics,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 2014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>, 46(11)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E71983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1220-1226 </w:t>
            </w:r>
          </w:p>
          <w:p w:rsidR="003A363B" w:rsidRPr="00E71983" w:rsidRDefault="000A6697" w:rsidP="00FF1943">
            <w:pPr>
              <w:pStyle w:val="HTML"/>
              <w:numPr>
                <w:ilvl w:val="0"/>
                <w:numId w:val="5"/>
              </w:numPr>
              <w:tabs>
                <w:tab w:val="clear" w:pos="851"/>
                <w:tab w:val="left" w:pos="432"/>
              </w:tabs>
              <w:spacing w:line="290" w:lineRule="exact"/>
              <w:ind w:left="431" w:hanging="297"/>
              <w:jc w:val="both"/>
            </w:pPr>
            <w:proofErr w:type="gramStart"/>
            <w:r w:rsidRPr="00E71983">
              <w:rPr>
                <w:rFonts w:ascii="Times New Roman" w:hint="eastAsia"/>
                <w:sz w:val="21"/>
                <w:szCs w:val="21"/>
              </w:rPr>
              <w:t>Zhang Y.</w:t>
            </w:r>
            <w:r w:rsidRPr="00E71983">
              <w:rPr>
                <w:rFonts w:ascii="Times New Roman" w:hint="eastAsia"/>
                <w:bCs/>
                <w:sz w:val="21"/>
                <w:szCs w:val="21"/>
              </w:rPr>
              <w:t xml:space="preserve"> </w:t>
            </w:r>
            <w:bookmarkStart w:id="10" w:name="OLE_LINK14"/>
            <w:r w:rsidRPr="00E71983">
              <w:rPr>
                <w:rFonts w:ascii="Times New Roman"/>
                <w:bCs/>
                <w:sz w:val="21"/>
                <w:szCs w:val="21"/>
              </w:rPr>
              <w:t>Ascorbic Acid in Plants: Biosynthesis, Regulation and Enhancement</w:t>
            </w:r>
            <w:bookmarkEnd w:id="10"/>
            <w:r w:rsidRPr="00E71983">
              <w:rPr>
                <w:rFonts w:ascii="Times New Roman" w:hint="eastAsia"/>
                <w:bCs/>
                <w:sz w:val="21"/>
                <w:szCs w:val="21"/>
              </w:rPr>
              <w:t>.</w:t>
            </w:r>
            <w:proofErr w:type="gramEnd"/>
            <w:r w:rsidRPr="00E71983">
              <w:rPr>
                <w:rFonts w:ascii="Times New Roman" w:hint="eastAsia"/>
                <w:bCs/>
                <w:sz w:val="21"/>
                <w:szCs w:val="21"/>
              </w:rPr>
              <w:t xml:space="preserve"> </w:t>
            </w:r>
            <w:proofErr w:type="gramStart"/>
            <w:r w:rsidRPr="00E71983">
              <w:rPr>
                <w:rFonts w:ascii="Times New Roman" w:hint="eastAsia"/>
                <w:bCs/>
                <w:sz w:val="21"/>
                <w:szCs w:val="21"/>
              </w:rPr>
              <w:t xml:space="preserve">New York: </w:t>
            </w:r>
            <w:r w:rsidRPr="00E71983">
              <w:rPr>
                <w:rFonts w:ascii="Times New Roman"/>
                <w:bCs/>
                <w:sz w:val="21"/>
                <w:szCs w:val="21"/>
              </w:rPr>
              <w:t>Springer Science + Business Media</w:t>
            </w:r>
            <w:r w:rsidRPr="00E71983">
              <w:rPr>
                <w:rFonts w:ascii="Times New Roman" w:hint="eastAsia"/>
                <w:bCs/>
                <w:sz w:val="21"/>
                <w:szCs w:val="21"/>
              </w:rPr>
              <w:t>.</w:t>
            </w:r>
            <w:proofErr w:type="gramEnd"/>
            <w:r w:rsidRPr="00E71983">
              <w:rPr>
                <w:rFonts w:ascii="Times New Roman" w:hint="eastAsia"/>
                <w:bCs/>
                <w:sz w:val="21"/>
                <w:szCs w:val="21"/>
              </w:rPr>
              <w:t xml:space="preserve"> 2013. </w:t>
            </w:r>
            <w:r w:rsidRPr="00E71983">
              <w:rPr>
                <w:rFonts w:ascii="Times New Roman"/>
                <w:bCs/>
                <w:sz w:val="21"/>
                <w:szCs w:val="21"/>
              </w:rPr>
              <w:t xml:space="preserve">ISBN-10: </w:t>
            </w:r>
            <w:r w:rsidRPr="00E71983">
              <w:rPr>
                <w:rFonts w:ascii="Times New Roman" w:hAnsi="Times New Roman" w:cs="Times New Roman"/>
                <w:sz w:val="21"/>
                <w:szCs w:val="21"/>
              </w:rPr>
              <w:t>1461441269</w:t>
            </w:r>
          </w:p>
        </w:tc>
      </w:tr>
      <w:tr w:rsidR="00E71983" w:rsidRPr="00E71983" w:rsidTr="00862C2A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E71983" w:rsidRDefault="00752892" w:rsidP="00623C7F">
            <w:pPr>
              <w:rPr>
                <w:b/>
                <w:sz w:val="24"/>
              </w:rPr>
            </w:pPr>
            <w:r w:rsidRPr="00E71983">
              <w:rPr>
                <w:rFonts w:hint="eastAsia"/>
                <w:b/>
                <w:sz w:val="24"/>
              </w:rPr>
              <w:t>Additional Inf</w:t>
            </w:r>
            <w:bookmarkStart w:id="11" w:name="_GoBack"/>
            <w:bookmarkEnd w:id="11"/>
            <w:r w:rsidRPr="00E71983">
              <w:rPr>
                <w:rFonts w:hint="eastAsia"/>
                <w:b/>
                <w:sz w:val="24"/>
              </w:rPr>
              <w:t xml:space="preserve">ormation </w:t>
            </w:r>
          </w:p>
        </w:tc>
      </w:tr>
      <w:tr w:rsidR="00E71983" w:rsidRPr="00E71983" w:rsidTr="00C84199">
        <w:tblPrEx>
          <w:tblCellMar>
            <w:left w:w="108" w:type="dxa"/>
            <w:right w:w="108" w:type="dxa"/>
          </w:tblCellMar>
        </w:tblPrEx>
        <w:trPr>
          <w:trHeight w:val="5020"/>
        </w:trPr>
        <w:tc>
          <w:tcPr>
            <w:tcW w:w="9476" w:type="dxa"/>
            <w:gridSpan w:val="6"/>
            <w:vAlign w:val="center"/>
          </w:tcPr>
          <w:p w:rsidR="0060199A" w:rsidRPr="00E71983" w:rsidRDefault="00114DA0" w:rsidP="00862C2A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exact"/>
              <w:ind w:left="470" w:hanging="357"/>
              <w:rPr>
                <w:sz w:val="24"/>
              </w:rPr>
            </w:pPr>
            <w:r w:rsidRPr="00E71983">
              <w:rPr>
                <w:sz w:val="24"/>
              </w:rPr>
              <w:t>With</w:t>
            </w:r>
            <w:r w:rsidRPr="00E71983">
              <w:rPr>
                <w:rFonts w:hint="eastAsia"/>
                <w:sz w:val="24"/>
              </w:rPr>
              <w:t xml:space="preserve"> the social and </w:t>
            </w:r>
            <w:r w:rsidRPr="00E71983">
              <w:rPr>
                <w:sz w:val="24"/>
              </w:rPr>
              <w:t>economic</w:t>
            </w:r>
            <w:r w:rsidRPr="00E71983">
              <w:rPr>
                <w:rFonts w:hint="eastAsia"/>
                <w:sz w:val="24"/>
              </w:rPr>
              <w:t xml:space="preserve"> growth, consumers demand </w:t>
            </w:r>
            <w:r w:rsidR="00C31823" w:rsidRPr="00E71983">
              <w:rPr>
                <w:rFonts w:hint="eastAsia"/>
                <w:sz w:val="24"/>
              </w:rPr>
              <w:t xml:space="preserve">more </w:t>
            </w:r>
            <w:r w:rsidR="00C31823" w:rsidRPr="00E71983">
              <w:rPr>
                <w:sz w:val="24"/>
              </w:rPr>
              <w:t>nutritional</w:t>
            </w:r>
            <w:r w:rsidRPr="00E71983">
              <w:rPr>
                <w:rFonts w:hint="eastAsia"/>
                <w:sz w:val="24"/>
              </w:rPr>
              <w:t xml:space="preserve"> and </w:t>
            </w:r>
            <w:r w:rsidR="00C31823" w:rsidRPr="00E71983">
              <w:rPr>
                <w:sz w:val="24"/>
              </w:rPr>
              <w:t>favorable</w:t>
            </w:r>
            <w:r w:rsidR="00C31823" w:rsidRPr="00E71983">
              <w:rPr>
                <w:rFonts w:hint="eastAsia"/>
                <w:sz w:val="24"/>
              </w:rPr>
              <w:t xml:space="preserve"> </w:t>
            </w:r>
            <w:r w:rsidRPr="00E71983">
              <w:rPr>
                <w:rFonts w:hint="eastAsia"/>
                <w:sz w:val="24"/>
              </w:rPr>
              <w:t xml:space="preserve">food from </w:t>
            </w:r>
            <w:r w:rsidR="009D51B4" w:rsidRPr="00E71983">
              <w:rPr>
                <w:sz w:val="24"/>
              </w:rPr>
              <w:t>horticultural</w:t>
            </w:r>
            <w:r w:rsidRPr="00E71983">
              <w:rPr>
                <w:rFonts w:hint="eastAsia"/>
                <w:sz w:val="24"/>
              </w:rPr>
              <w:t xml:space="preserve"> plant, that are </w:t>
            </w:r>
            <w:r w:rsidR="009D51B4" w:rsidRPr="00E71983">
              <w:rPr>
                <w:sz w:val="24"/>
              </w:rPr>
              <w:t>beneficial</w:t>
            </w:r>
            <w:r w:rsidRPr="00E71983">
              <w:rPr>
                <w:rFonts w:hint="eastAsia"/>
                <w:sz w:val="24"/>
              </w:rPr>
              <w:t xml:space="preserve"> for human </w:t>
            </w:r>
            <w:r w:rsidR="009D51B4" w:rsidRPr="00E71983">
              <w:rPr>
                <w:sz w:val="24"/>
              </w:rPr>
              <w:t>health</w:t>
            </w:r>
            <w:r w:rsidRPr="00E71983">
              <w:rPr>
                <w:rFonts w:hint="eastAsia"/>
                <w:sz w:val="24"/>
              </w:rPr>
              <w:t xml:space="preserve">. </w:t>
            </w:r>
            <w:r w:rsidR="0060199A" w:rsidRPr="00E71983">
              <w:rPr>
                <w:sz w:val="24"/>
              </w:rPr>
              <w:t xml:space="preserve">Our recent research interest lies in </w:t>
            </w:r>
            <w:r w:rsidR="0060199A" w:rsidRPr="00E71983">
              <w:rPr>
                <w:rFonts w:hint="eastAsia"/>
                <w:sz w:val="24"/>
              </w:rPr>
              <w:t xml:space="preserve">fruit quality and </w:t>
            </w:r>
            <w:r w:rsidR="0060199A" w:rsidRPr="00E71983">
              <w:rPr>
                <w:sz w:val="24"/>
              </w:rPr>
              <w:t>metabolite</w:t>
            </w:r>
            <w:r w:rsidR="0060199A" w:rsidRPr="00E71983">
              <w:rPr>
                <w:rFonts w:hint="eastAsia"/>
                <w:sz w:val="24"/>
              </w:rPr>
              <w:t xml:space="preserve"> </w:t>
            </w:r>
            <w:r w:rsidR="0060199A" w:rsidRPr="00E71983">
              <w:rPr>
                <w:sz w:val="24"/>
              </w:rPr>
              <w:t>regulation</w:t>
            </w:r>
            <w:r w:rsidR="0060199A" w:rsidRPr="00E71983">
              <w:rPr>
                <w:rFonts w:hint="eastAsia"/>
                <w:sz w:val="24"/>
              </w:rPr>
              <w:t xml:space="preserve">, e.g. </w:t>
            </w:r>
            <w:r w:rsidR="0060199A" w:rsidRPr="00E71983">
              <w:rPr>
                <w:sz w:val="24"/>
              </w:rPr>
              <w:t xml:space="preserve">the ascorbic acid biosynthesis </w:t>
            </w:r>
            <w:r w:rsidR="0060199A" w:rsidRPr="00E71983">
              <w:rPr>
                <w:rFonts w:hint="eastAsia"/>
                <w:sz w:val="24"/>
              </w:rPr>
              <w:t>and</w:t>
            </w:r>
            <w:r w:rsidR="009E42DB" w:rsidRPr="00E71983">
              <w:rPr>
                <w:rFonts w:hint="eastAsia"/>
                <w:sz w:val="24"/>
              </w:rPr>
              <w:t xml:space="preserve"> regulation</w:t>
            </w:r>
            <w:r w:rsidR="0060199A" w:rsidRPr="00E71983">
              <w:rPr>
                <w:rFonts w:hint="eastAsia"/>
                <w:sz w:val="24"/>
              </w:rPr>
              <w:t xml:space="preserve"> </w:t>
            </w:r>
            <w:r w:rsidR="0060199A" w:rsidRPr="00E71983">
              <w:rPr>
                <w:sz w:val="24"/>
              </w:rPr>
              <w:t>in tomato. Using gene knockout and overexpression, we have identified several key enzym</w:t>
            </w:r>
            <w:r w:rsidR="00B01AB8" w:rsidRPr="00E71983">
              <w:rPr>
                <w:rFonts w:hint="eastAsia"/>
                <w:sz w:val="24"/>
              </w:rPr>
              <w:t>atic</w:t>
            </w:r>
            <w:r w:rsidR="0060199A" w:rsidRPr="00E71983">
              <w:rPr>
                <w:sz w:val="24"/>
              </w:rPr>
              <w:t xml:space="preserve"> encoding genes in ascorbic acid synthesis in tomato, including APX (Zhang et al., 2011), AO (Zhang et al., 2011),</w:t>
            </w:r>
            <w:r w:rsidR="00217A25" w:rsidRPr="00E71983">
              <w:rPr>
                <w:rFonts w:hint="eastAsia"/>
                <w:sz w:val="24"/>
              </w:rPr>
              <w:t xml:space="preserve"> GMP (Zhang et al., 2013)</w:t>
            </w:r>
            <w:r w:rsidR="00127446" w:rsidRPr="00E71983">
              <w:rPr>
                <w:rFonts w:hint="eastAsia"/>
                <w:sz w:val="24"/>
              </w:rPr>
              <w:t>,</w:t>
            </w:r>
            <w:r w:rsidR="0060199A" w:rsidRPr="00E71983">
              <w:rPr>
                <w:sz w:val="24"/>
              </w:rPr>
              <w:t xml:space="preserve"> GME (Zhang et al., 2011), </w:t>
            </w:r>
            <w:r w:rsidR="0060199A" w:rsidRPr="00E71983">
              <w:rPr>
                <w:rFonts w:hint="eastAsia"/>
                <w:sz w:val="24"/>
              </w:rPr>
              <w:t xml:space="preserve">and </w:t>
            </w:r>
            <w:proofErr w:type="spellStart"/>
            <w:r w:rsidR="0060199A" w:rsidRPr="00E71983">
              <w:rPr>
                <w:sz w:val="24"/>
              </w:rPr>
              <w:t>GalUR</w:t>
            </w:r>
            <w:proofErr w:type="spellEnd"/>
            <w:r w:rsidR="0060199A" w:rsidRPr="00E71983">
              <w:rPr>
                <w:sz w:val="24"/>
              </w:rPr>
              <w:t xml:space="preserve"> (</w:t>
            </w:r>
            <w:proofErr w:type="spellStart"/>
            <w:r w:rsidR="0060199A" w:rsidRPr="00E71983">
              <w:rPr>
                <w:rFonts w:hint="eastAsia"/>
                <w:sz w:val="24"/>
              </w:rPr>
              <w:t>Cai</w:t>
            </w:r>
            <w:proofErr w:type="spellEnd"/>
            <w:r w:rsidR="0060199A" w:rsidRPr="00E71983">
              <w:rPr>
                <w:rFonts w:hint="eastAsia"/>
                <w:sz w:val="24"/>
              </w:rPr>
              <w:t xml:space="preserve"> et al., 2014</w:t>
            </w:r>
            <w:r w:rsidR="0060199A" w:rsidRPr="00E71983">
              <w:rPr>
                <w:sz w:val="24"/>
              </w:rPr>
              <w:t xml:space="preserve">). </w:t>
            </w:r>
            <w:proofErr w:type="gramStart"/>
            <w:r w:rsidR="0060199A" w:rsidRPr="00E71983">
              <w:rPr>
                <w:sz w:val="24"/>
              </w:rPr>
              <w:t>And</w:t>
            </w:r>
            <w:proofErr w:type="gramEnd"/>
            <w:r w:rsidR="0060199A" w:rsidRPr="00E71983">
              <w:rPr>
                <w:sz w:val="24"/>
              </w:rPr>
              <w:t xml:space="preserve"> several other enzymatic genes </w:t>
            </w:r>
            <w:r w:rsidR="00F76943" w:rsidRPr="00E71983">
              <w:rPr>
                <w:sz w:val="24"/>
              </w:rPr>
              <w:t>are</w:t>
            </w:r>
            <w:r w:rsidR="0060199A" w:rsidRPr="00E71983">
              <w:rPr>
                <w:sz w:val="24"/>
              </w:rPr>
              <w:t xml:space="preserve"> under investigation.</w:t>
            </w:r>
            <w:r w:rsidR="0060199A" w:rsidRPr="00E71983">
              <w:rPr>
                <w:rFonts w:hint="eastAsia"/>
                <w:sz w:val="24"/>
              </w:rPr>
              <w:t xml:space="preserve"> </w:t>
            </w:r>
          </w:p>
          <w:p w:rsidR="00752892" w:rsidRPr="00E71983" w:rsidRDefault="0060199A" w:rsidP="00862C2A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exact"/>
              <w:ind w:left="470" w:hanging="357"/>
              <w:rPr>
                <w:sz w:val="24"/>
              </w:rPr>
            </w:pPr>
            <w:r w:rsidRPr="00E71983">
              <w:rPr>
                <w:sz w:val="24"/>
              </w:rPr>
              <w:t xml:space="preserve">Up to now the ascorbic acid synthesis enzymatic pathway </w:t>
            </w:r>
            <w:r w:rsidRPr="00E71983">
              <w:rPr>
                <w:rFonts w:hint="eastAsia"/>
                <w:sz w:val="24"/>
              </w:rPr>
              <w:t xml:space="preserve">in plants </w:t>
            </w:r>
            <w:proofErr w:type="gramStart"/>
            <w:r w:rsidRPr="00E71983">
              <w:rPr>
                <w:sz w:val="24"/>
              </w:rPr>
              <w:t>is well characterized</w:t>
            </w:r>
            <w:proofErr w:type="gramEnd"/>
            <w:r w:rsidRPr="00E71983">
              <w:rPr>
                <w:sz w:val="24"/>
              </w:rPr>
              <w:t xml:space="preserve">, the regulation of ascorbic acid accumulation remains largely unknown. We now aim to find the regulators or transcription factors that modulate ascorbic acid accumulation in plants. </w:t>
            </w:r>
            <w:r w:rsidR="00990729" w:rsidRPr="00E71983">
              <w:rPr>
                <w:sz w:val="24"/>
              </w:rPr>
              <w:t>One</w:t>
            </w:r>
            <w:r w:rsidRPr="00E71983">
              <w:rPr>
                <w:sz w:val="24"/>
              </w:rPr>
              <w:t xml:space="preserve"> transpiration factor (</w:t>
            </w:r>
            <w:r w:rsidRPr="00E71983">
              <w:rPr>
                <w:rFonts w:hint="eastAsia"/>
                <w:sz w:val="24"/>
              </w:rPr>
              <w:t>HD-</w:t>
            </w:r>
            <w:proofErr w:type="spellStart"/>
            <w:r w:rsidRPr="00E71983">
              <w:rPr>
                <w:rFonts w:hint="eastAsia"/>
                <w:sz w:val="24"/>
              </w:rPr>
              <w:t>ZipI</w:t>
            </w:r>
            <w:proofErr w:type="spellEnd"/>
            <w:r w:rsidRPr="00E71983">
              <w:rPr>
                <w:sz w:val="24"/>
              </w:rPr>
              <w:t xml:space="preserve">) has been </w:t>
            </w:r>
            <w:proofErr w:type="gramStart"/>
            <w:r w:rsidR="009F3FCB" w:rsidRPr="00E71983">
              <w:rPr>
                <w:rFonts w:hint="eastAsia"/>
                <w:sz w:val="24"/>
              </w:rPr>
              <w:t>well</w:t>
            </w:r>
            <w:r w:rsidRPr="00E71983">
              <w:rPr>
                <w:sz w:val="24"/>
              </w:rPr>
              <w:t xml:space="preserve"> identified</w:t>
            </w:r>
            <w:proofErr w:type="gramEnd"/>
            <w:r w:rsidRPr="00E71983">
              <w:rPr>
                <w:sz w:val="24"/>
              </w:rPr>
              <w:t xml:space="preserve"> (</w:t>
            </w:r>
            <w:r w:rsidRPr="00E71983">
              <w:rPr>
                <w:rFonts w:hint="eastAsia"/>
                <w:sz w:val="24"/>
              </w:rPr>
              <w:t>Hu et al., 201</w:t>
            </w:r>
            <w:r w:rsidR="00162B40" w:rsidRPr="00E71983">
              <w:rPr>
                <w:rFonts w:hint="eastAsia"/>
                <w:sz w:val="24"/>
              </w:rPr>
              <w:t>6</w:t>
            </w:r>
            <w:r w:rsidRPr="00E71983">
              <w:rPr>
                <w:sz w:val="24"/>
              </w:rPr>
              <w:t>).</w:t>
            </w:r>
            <w:r w:rsidRPr="00E71983">
              <w:rPr>
                <w:rFonts w:hint="eastAsia"/>
                <w:sz w:val="24"/>
              </w:rPr>
              <w:t xml:space="preserve"> By gene </w:t>
            </w:r>
            <w:r w:rsidRPr="00E71983">
              <w:rPr>
                <w:sz w:val="24"/>
              </w:rPr>
              <w:t>expression</w:t>
            </w:r>
            <w:r w:rsidRPr="00E71983">
              <w:rPr>
                <w:rFonts w:hint="eastAsia"/>
                <w:sz w:val="24"/>
              </w:rPr>
              <w:t xml:space="preserve"> </w:t>
            </w:r>
            <w:r w:rsidRPr="00E71983">
              <w:rPr>
                <w:sz w:val="24"/>
              </w:rPr>
              <w:t>association</w:t>
            </w:r>
            <w:r w:rsidRPr="00E71983">
              <w:rPr>
                <w:rFonts w:hint="eastAsia"/>
                <w:sz w:val="24"/>
              </w:rPr>
              <w:t xml:space="preserve"> between </w:t>
            </w:r>
            <w:r w:rsidRPr="00E71983">
              <w:rPr>
                <w:sz w:val="24"/>
              </w:rPr>
              <w:t>transcription</w:t>
            </w:r>
            <w:r w:rsidRPr="00E71983">
              <w:rPr>
                <w:rFonts w:hint="eastAsia"/>
                <w:sz w:val="24"/>
              </w:rPr>
              <w:t xml:space="preserve"> factors and </w:t>
            </w:r>
            <w:r w:rsidRPr="00E71983">
              <w:rPr>
                <w:sz w:val="24"/>
              </w:rPr>
              <w:t>enzymatic</w:t>
            </w:r>
            <w:r w:rsidRPr="00E71983">
              <w:rPr>
                <w:rFonts w:hint="eastAsia"/>
                <w:sz w:val="24"/>
              </w:rPr>
              <w:t xml:space="preserve"> genes, we have cloned several </w:t>
            </w:r>
            <w:bookmarkStart w:id="12" w:name="OLE_LINK2"/>
            <w:r w:rsidRPr="00E71983">
              <w:rPr>
                <w:sz w:val="24"/>
              </w:rPr>
              <w:t>transcription</w:t>
            </w:r>
            <w:r w:rsidRPr="00E71983">
              <w:rPr>
                <w:rFonts w:hint="eastAsia"/>
                <w:sz w:val="24"/>
              </w:rPr>
              <w:t xml:space="preserve"> </w:t>
            </w:r>
            <w:bookmarkEnd w:id="12"/>
            <w:r w:rsidRPr="00E71983">
              <w:rPr>
                <w:rFonts w:hint="eastAsia"/>
                <w:sz w:val="24"/>
              </w:rPr>
              <w:t xml:space="preserve">factors, most of them are novel with some of them have been </w:t>
            </w:r>
            <w:r w:rsidRPr="00E71983">
              <w:rPr>
                <w:sz w:val="24"/>
              </w:rPr>
              <w:t>demonstrated</w:t>
            </w:r>
            <w:r w:rsidRPr="00E71983">
              <w:rPr>
                <w:rFonts w:hint="eastAsia"/>
                <w:sz w:val="24"/>
              </w:rPr>
              <w:t xml:space="preserve"> (e.g. MYB12)</w:t>
            </w:r>
            <w:r w:rsidR="002C7450" w:rsidRPr="00E71983">
              <w:rPr>
                <w:rFonts w:hint="eastAsia"/>
                <w:sz w:val="24"/>
              </w:rPr>
              <w:t xml:space="preserve"> (Ye et al., 2015)</w:t>
            </w:r>
            <w:r w:rsidRPr="00E71983">
              <w:rPr>
                <w:rFonts w:hint="eastAsia"/>
                <w:sz w:val="24"/>
              </w:rPr>
              <w:t xml:space="preserve">. By GWAS </w:t>
            </w:r>
            <w:r w:rsidRPr="00E71983">
              <w:rPr>
                <w:sz w:val="24"/>
              </w:rPr>
              <w:t>analysis</w:t>
            </w:r>
            <w:r w:rsidRPr="00E71983">
              <w:rPr>
                <w:rFonts w:hint="eastAsia"/>
                <w:sz w:val="24"/>
              </w:rPr>
              <w:t xml:space="preserve"> we have cloned several </w:t>
            </w:r>
            <w:r w:rsidRPr="00E71983">
              <w:rPr>
                <w:sz w:val="24"/>
              </w:rPr>
              <w:t>candidate</w:t>
            </w:r>
            <w:r w:rsidRPr="00E71983">
              <w:rPr>
                <w:rFonts w:hint="eastAsia"/>
                <w:sz w:val="24"/>
              </w:rPr>
              <w:t xml:space="preserve"> genes that </w:t>
            </w:r>
            <w:r w:rsidRPr="00E71983">
              <w:rPr>
                <w:sz w:val="24"/>
              </w:rPr>
              <w:t>function</w:t>
            </w:r>
            <w:r w:rsidRPr="00E71983">
              <w:rPr>
                <w:rFonts w:hint="eastAsia"/>
                <w:sz w:val="24"/>
              </w:rPr>
              <w:t xml:space="preserve"> in quality formation</w:t>
            </w:r>
            <w:r w:rsidR="00205404" w:rsidRPr="00E71983">
              <w:rPr>
                <w:rFonts w:hint="eastAsia"/>
                <w:sz w:val="24"/>
              </w:rPr>
              <w:t>, e.g. the ALMT9 is</w:t>
            </w:r>
            <w:r w:rsidR="00130A38" w:rsidRPr="00E71983">
              <w:rPr>
                <w:rFonts w:hint="eastAsia"/>
                <w:sz w:val="24"/>
              </w:rPr>
              <w:t xml:space="preserve"> a</w:t>
            </w:r>
            <w:r w:rsidR="00205404" w:rsidRPr="00E71983">
              <w:rPr>
                <w:rFonts w:hint="eastAsia"/>
                <w:sz w:val="24"/>
              </w:rPr>
              <w:t xml:space="preserve"> pivotal gene for malate accumulation in </w:t>
            </w:r>
            <w:r w:rsidR="00205404" w:rsidRPr="00E71983">
              <w:rPr>
                <w:sz w:val="24"/>
              </w:rPr>
              <w:t>tomato</w:t>
            </w:r>
            <w:r w:rsidR="00205404" w:rsidRPr="00E71983">
              <w:rPr>
                <w:rFonts w:hint="eastAsia"/>
                <w:sz w:val="24"/>
              </w:rPr>
              <w:t xml:space="preserve"> fruit</w:t>
            </w:r>
            <w:r w:rsidR="00574C90" w:rsidRPr="00E71983">
              <w:rPr>
                <w:rFonts w:hint="eastAsia"/>
                <w:sz w:val="24"/>
              </w:rPr>
              <w:t xml:space="preserve"> (Ye et al., 2017)</w:t>
            </w:r>
            <w:r w:rsidR="00F739C6" w:rsidRPr="00E71983">
              <w:rPr>
                <w:rFonts w:hint="eastAsia"/>
                <w:sz w:val="24"/>
              </w:rPr>
              <w:t>.</w:t>
            </w:r>
            <w:r w:rsidR="00B93EB3" w:rsidRPr="00E71983">
              <w:rPr>
                <w:rFonts w:hint="eastAsia"/>
                <w:sz w:val="24"/>
              </w:rPr>
              <w:t xml:space="preserve"> These genes </w:t>
            </w:r>
            <w:proofErr w:type="gramStart"/>
            <w:r w:rsidR="00B93EB3" w:rsidRPr="00E71983">
              <w:rPr>
                <w:rFonts w:hint="eastAsia"/>
                <w:sz w:val="24"/>
              </w:rPr>
              <w:t>are used</w:t>
            </w:r>
            <w:proofErr w:type="gramEnd"/>
            <w:r w:rsidR="00B93EB3" w:rsidRPr="00E71983">
              <w:rPr>
                <w:rFonts w:hint="eastAsia"/>
                <w:sz w:val="24"/>
              </w:rPr>
              <w:t xml:space="preserve"> </w:t>
            </w:r>
            <w:r w:rsidR="008D5272" w:rsidRPr="00E71983">
              <w:rPr>
                <w:rFonts w:hint="eastAsia"/>
                <w:sz w:val="24"/>
              </w:rPr>
              <w:t>to</w:t>
            </w:r>
            <w:r w:rsidR="002C5891" w:rsidRPr="00E71983">
              <w:rPr>
                <w:rFonts w:hint="eastAsia"/>
                <w:sz w:val="24"/>
              </w:rPr>
              <w:t xml:space="preserve"> design markers for MAS and molecular breeding.</w:t>
            </w:r>
          </w:p>
        </w:tc>
      </w:tr>
    </w:tbl>
    <w:p w:rsidR="008A3A3F" w:rsidRPr="00E71983" w:rsidRDefault="008A3A3F" w:rsidP="008A3A3F">
      <w:pPr>
        <w:jc w:val="center"/>
        <w:rPr>
          <w:sz w:val="24"/>
        </w:rPr>
      </w:pPr>
    </w:p>
    <w:sectPr w:rsidR="008A3A3F" w:rsidRPr="00E71983" w:rsidSect="00C16E59">
      <w:headerReference w:type="default" r:id="rId9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6" w:rsidRDefault="00433BA6" w:rsidP="008A3A3F">
      <w:r>
        <w:separator/>
      </w:r>
    </w:p>
  </w:endnote>
  <w:endnote w:type="continuationSeparator" w:id="0">
    <w:p w:rsidR="00433BA6" w:rsidRDefault="00433BA6" w:rsidP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6" w:rsidRDefault="00433BA6" w:rsidP="008A3A3F">
      <w:r>
        <w:separator/>
      </w:r>
    </w:p>
  </w:footnote>
  <w:footnote w:type="continuationSeparator" w:id="0">
    <w:p w:rsidR="00433BA6" w:rsidRDefault="00433BA6" w:rsidP="008A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15" w:rsidRDefault="00433BA6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05108C"/>
    <w:multiLevelType w:val="hybridMultilevel"/>
    <w:tmpl w:val="BB08BF96"/>
    <w:lvl w:ilvl="0" w:tplc="84147CB8">
      <w:start w:val="1"/>
      <w:numFmt w:val="decimal"/>
      <w:lvlText w:val="%1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  <w:b w:val="0"/>
        <w:sz w:val="22"/>
        <w:szCs w:val="18"/>
      </w:rPr>
    </w:lvl>
    <w:lvl w:ilvl="1" w:tplc="0712A5B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F54302"/>
    <w:multiLevelType w:val="multilevel"/>
    <w:tmpl w:val="E58CD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A3F"/>
    <w:rsid w:val="0006589F"/>
    <w:rsid w:val="00067525"/>
    <w:rsid w:val="000A6697"/>
    <w:rsid w:val="000B783E"/>
    <w:rsid w:val="000D4AB2"/>
    <w:rsid w:val="000E1F90"/>
    <w:rsid w:val="00114DA0"/>
    <w:rsid w:val="00127446"/>
    <w:rsid w:val="00130A38"/>
    <w:rsid w:val="00162B40"/>
    <w:rsid w:val="00175936"/>
    <w:rsid w:val="00205404"/>
    <w:rsid w:val="00217A25"/>
    <w:rsid w:val="00243551"/>
    <w:rsid w:val="00267A61"/>
    <w:rsid w:val="002C5891"/>
    <w:rsid w:val="002C7450"/>
    <w:rsid w:val="0033011D"/>
    <w:rsid w:val="0034416C"/>
    <w:rsid w:val="00375D32"/>
    <w:rsid w:val="00397F97"/>
    <w:rsid w:val="003A363B"/>
    <w:rsid w:val="003C75C6"/>
    <w:rsid w:val="00433BA6"/>
    <w:rsid w:val="004646AB"/>
    <w:rsid w:val="004C3CB1"/>
    <w:rsid w:val="004D2B77"/>
    <w:rsid w:val="004F3DA9"/>
    <w:rsid w:val="00532356"/>
    <w:rsid w:val="00574C90"/>
    <w:rsid w:val="00587AC1"/>
    <w:rsid w:val="005D3798"/>
    <w:rsid w:val="005E0C23"/>
    <w:rsid w:val="0060199A"/>
    <w:rsid w:val="00634C49"/>
    <w:rsid w:val="006C3A5C"/>
    <w:rsid w:val="0072618F"/>
    <w:rsid w:val="00752892"/>
    <w:rsid w:val="007B2173"/>
    <w:rsid w:val="0080123E"/>
    <w:rsid w:val="0085544F"/>
    <w:rsid w:val="00862C2A"/>
    <w:rsid w:val="008A3A3F"/>
    <w:rsid w:val="008D5272"/>
    <w:rsid w:val="00953FF1"/>
    <w:rsid w:val="00983A39"/>
    <w:rsid w:val="00990729"/>
    <w:rsid w:val="009D51B4"/>
    <w:rsid w:val="009E42DB"/>
    <w:rsid w:val="009F3FCB"/>
    <w:rsid w:val="00A349E5"/>
    <w:rsid w:val="00A43906"/>
    <w:rsid w:val="00A862AD"/>
    <w:rsid w:val="00A93F59"/>
    <w:rsid w:val="00B01AB8"/>
    <w:rsid w:val="00B92125"/>
    <w:rsid w:val="00B93EB3"/>
    <w:rsid w:val="00BF0C77"/>
    <w:rsid w:val="00C244F0"/>
    <w:rsid w:val="00C31823"/>
    <w:rsid w:val="00C81795"/>
    <w:rsid w:val="00C84199"/>
    <w:rsid w:val="00CD6A39"/>
    <w:rsid w:val="00D13227"/>
    <w:rsid w:val="00D1422D"/>
    <w:rsid w:val="00D61D17"/>
    <w:rsid w:val="00DD2766"/>
    <w:rsid w:val="00DD2B4C"/>
    <w:rsid w:val="00DD63E2"/>
    <w:rsid w:val="00DE4241"/>
    <w:rsid w:val="00DF2272"/>
    <w:rsid w:val="00E57FCF"/>
    <w:rsid w:val="00E71983"/>
    <w:rsid w:val="00E96B5C"/>
    <w:rsid w:val="00EB390D"/>
    <w:rsid w:val="00ED4D20"/>
    <w:rsid w:val="00EE132E"/>
    <w:rsid w:val="00F00A21"/>
    <w:rsid w:val="00F739C6"/>
    <w:rsid w:val="00F76943"/>
    <w:rsid w:val="00FD6923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  <w:style w:type="paragraph" w:styleId="HTML">
    <w:name w:val="HTML Preformatted"/>
    <w:basedOn w:val="a"/>
    <w:link w:val="HTMLChar"/>
    <w:rsid w:val="000A66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0A6697"/>
    <w:rPr>
      <w:rFonts w:ascii="宋体" w:eastAsia="宋体" w:hAnsi="宋体" w:cs="宋体"/>
      <w:kern w:val="0"/>
      <w:sz w:val="24"/>
      <w:szCs w:val="24"/>
    </w:rPr>
  </w:style>
  <w:style w:type="character" w:customStyle="1" w:styleId="normaltext1">
    <w:name w:val="normaltext1"/>
    <w:rsid w:val="000A6697"/>
    <w:rPr>
      <w:color w:val="000000"/>
      <w:sz w:val="18"/>
      <w:szCs w:val="18"/>
    </w:rPr>
  </w:style>
  <w:style w:type="character" w:styleId="a7">
    <w:name w:val="Hyperlink"/>
    <w:rsid w:val="000A6697"/>
    <w:rPr>
      <w:strike w:val="0"/>
      <w:dstrike w:val="0"/>
      <w:color w:val="000000"/>
      <w:u w:val="none"/>
      <w:effect w:val="none"/>
    </w:rPr>
  </w:style>
  <w:style w:type="paragraph" w:customStyle="1" w:styleId="1">
    <w:name w:val="1"/>
    <w:basedOn w:val="a"/>
    <w:rsid w:val="000A669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yuyangzhang</cp:lastModifiedBy>
  <cp:revision>73</cp:revision>
  <dcterms:created xsi:type="dcterms:W3CDTF">2015-11-26T01:58:00Z</dcterms:created>
  <dcterms:modified xsi:type="dcterms:W3CDTF">2018-04-03T07:39:00Z</dcterms:modified>
</cp:coreProperties>
</file>